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D9E06" w14:textId="7037FA8F" w:rsidR="00097904" w:rsidRPr="00097904" w:rsidRDefault="00097904" w:rsidP="00097904">
      <w:r w:rsidRPr="00097904">
        <w:t>FOR IMMEDIATE RELEASE</w:t>
      </w:r>
      <w:r w:rsidRPr="00097904">
        <w:br/>
      </w:r>
      <w:proofErr w:type="gramStart"/>
      <w:r w:rsidR="0082030E">
        <w:t>August</w:t>
      </w:r>
      <w:r w:rsidRPr="00097904">
        <w:t xml:space="preserve"> </w:t>
      </w:r>
      <w:r w:rsidR="0082030E">
        <w:t>XX</w:t>
      </w:r>
      <w:r w:rsidRPr="00097904">
        <w:t>,</w:t>
      </w:r>
      <w:proofErr w:type="gramEnd"/>
      <w:r w:rsidRPr="00097904">
        <w:t xml:space="preserve"> 2025</w:t>
      </w:r>
    </w:p>
    <w:p w14:paraId="6442AD72" w14:textId="4755DEAE" w:rsidR="00425EBB" w:rsidRPr="00097904" w:rsidRDefault="00097904" w:rsidP="00097904">
      <w:pPr>
        <w:rPr>
          <w:b/>
          <w:bCs/>
        </w:rPr>
      </w:pPr>
      <w:r w:rsidRPr="00097904">
        <w:rPr>
          <w:b/>
          <w:bCs/>
        </w:rPr>
        <w:t>B&amp;N Mining</w:t>
      </w:r>
      <w:r w:rsidR="00247845">
        <w:rPr>
          <w:b/>
          <w:bCs/>
        </w:rPr>
        <w:t xml:space="preserve"> </w:t>
      </w:r>
      <w:r w:rsidR="00940164">
        <w:rPr>
          <w:b/>
          <w:bCs/>
        </w:rPr>
        <w:t xml:space="preserve">Properties, </w:t>
      </w:r>
      <w:r w:rsidR="00247845">
        <w:rPr>
          <w:b/>
          <w:bCs/>
        </w:rPr>
        <w:t>Inc.</w:t>
      </w:r>
      <w:r w:rsidRPr="00097904">
        <w:rPr>
          <w:b/>
          <w:bCs/>
        </w:rPr>
        <w:t xml:space="preserve"> </w:t>
      </w:r>
      <w:r w:rsidR="0082030E">
        <w:rPr>
          <w:b/>
          <w:bCs/>
        </w:rPr>
        <w:t xml:space="preserve">Announces a </w:t>
      </w:r>
      <w:r w:rsidR="00247845">
        <w:rPr>
          <w:b/>
          <w:bCs/>
        </w:rPr>
        <w:t xml:space="preserve">New Tungsten and Gold Mineral Resource Estimate on its </w:t>
      </w:r>
      <w:r w:rsidR="0082030E">
        <w:rPr>
          <w:b/>
          <w:bCs/>
        </w:rPr>
        <w:t xml:space="preserve">Black Hawk and Spud Patch Placer Deposits </w:t>
      </w:r>
    </w:p>
    <w:p w14:paraId="1DF60490" w14:textId="77777777" w:rsidR="00CC3593" w:rsidRDefault="00097904" w:rsidP="00097904">
      <w:r w:rsidRPr="00097904">
        <w:t>Randsburg, CA – B&amp;N Mining</w:t>
      </w:r>
      <w:r w:rsidR="00B36290">
        <w:t xml:space="preserve"> Inc.</w:t>
      </w:r>
      <w:r w:rsidR="008E5784">
        <w:t xml:space="preserve"> </w:t>
      </w:r>
      <w:r w:rsidRPr="00097904">
        <w:t xml:space="preserve">(B&amp;N) today announced the </w:t>
      </w:r>
      <w:r w:rsidR="0082030E">
        <w:t xml:space="preserve">completion of a </w:t>
      </w:r>
      <w:r w:rsidR="0029647A">
        <w:t xml:space="preserve">Canadian </w:t>
      </w:r>
      <w:r w:rsidR="0082030E">
        <w:t xml:space="preserve">National Instrument 43-101 </w:t>
      </w:r>
      <w:r w:rsidR="00247845">
        <w:t xml:space="preserve">(NI 43-101) </w:t>
      </w:r>
      <w:r w:rsidR="0082030E">
        <w:t xml:space="preserve">compliant mineral resource estimate on its wholly owned Black Hawk and Spud Patch tungsten and gold placer deposits.  Both deposits are within the Rand Mining District in San Bernardino County California.  </w:t>
      </w:r>
    </w:p>
    <w:p w14:paraId="5FD5627B" w14:textId="77777777" w:rsidR="00CC3593" w:rsidRPr="00A208EE" w:rsidRDefault="00CC3593" w:rsidP="00CC3593">
      <w:r w:rsidRPr="00A208EE">
        <w:t>The combined Inferred Mineral Resource for the two deposits totals:</w:t>
      </w:r>
    </w:p>
    <w:p w14:paraId="182FE838" w14:textId="77777777" w:rsidR="00CC3593" w:rsidRPr="00A208EE" w:rsidRDefault="00CC3593" w:rsidP="00CC3593">
      <w:pPr>
        <w:numPr>
          <w:ilvl w:val="0"/>
          <w:numId w:val="4"/>
        </w:numPr>
      </w:pPr>
      <w:r w:rsidRPr="00A208EE">
        <w:t>33.8 million pounds of WO₃ (tungsten trioxide)</w:t>
      </w:r>
    </w:p>
    <w:p w14:paraId="3062C4C3" w14:textId="00EC7687" w:rsidR="00CC3593" w:rsidRDefault="00CC3593" w:rsidP="00CC3593">
      <w:pPr>
        <w:numPr>
          <w:ilvl w:val="0"/>
          <w:numId w:val="4"/>
        </w:numPr>
      </w:pPr>
      <w:r w:rsidRPr="00A208EE">
        <w:t>104,000 troy ounces of gold</w:t>
      </w:r>
    </w:p>
    <w:p w14:paraId="023A392B" w14:textId="07271FB9" w:rsidR="00822F9B" w:rsidRDefault="00822F9B" w:rsidP="00822F9B">
      <w:r>
        <w:t xml:space="preserve">The two placer deposits are contained on the company’s holdings in the Rand Mining District which totals </w:t>
      </w:r>
      <w:r w:rsidR="003343C0">
        <w:t xml:space="preserve">5,998 acres in Kern and San Bernardino Counties.  In addition to the mineral lands in the Rand Mining District, B&amp;N also holds 555 acres outside of the Rand Mining District in Kern, San Bernardino, and Inyo Counties.  The two placer deposits are on company owned land near Red Mountain and Atolia California.  Figure 1 below shows the location of the two tungsten and gold placer deposits.  </w:t>
      </w:r>
    </w:p>
    <w:p w14:paraId="1847EBF5" w14:textId="7E4AA514" w:rsidR="003343C0" w:rsidRDefault="003343C0" w:rsidP="000B4C58">
      <w:r>
        <w:rPr>
          <w:noProof/>
        </w:rPr>
        <w:drawing>
          <wp:inline distT="0" distB="0" distL="0" distR="0" wp14:anchorId="10ABF86A" wp14:editId="457F1ACC">
            <wp:extent cx="4248150" cy="3452076"/>
            <wp:effectExtent l="0" t="0" r="0" b="0"/>
            <wp:docPr id="1223075068" name="Picture 1" descr="A map of a mountain r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171254" name="Picture 1" descr="A map of a mountain range&#10;&#10;AI-generated content may be incorrect."/>
                    <pic:cNvPicPr/>
                  </pic:nvPicPr>
                  <pic:blipFill>
                    <a:blip r:embed="rId6"/>
                    <a:stretch>
                      <a:fillRect/>
                    </a:stretch>
                  </pic:blipFill>
                  <pic:spPr>
                    <a:xfrm>
                      <a:off x="0" y="0"/>
                      <a:ext cx="4256218" cy="3458632"/>
                    </a:xfrm>
                    <a:prstGeom prst="rect">
                      <a:avLst/>
                    </a:prstGeom>
                  </pic:spPr>
                </pic:pic>
              </a:graphicData>
            </a:graphic>
          </wp:inline>
        </w:drawing>
      </w:r>
    </w:p>
    <w:p w14:paraId="1D8C2E32" w14:textId="77777777" w:rsidR="003343C0" w:rsidRDefault="003343C0" w:rsidP="000B4C58">
      <w:pPr>
        <w:pStyle w:val="Caption"/>
        <w:rPr>
          <w:b/>
          <w:bCs/>
        </w:rPr>
      </w:pPr>
      <w:r>
        <w:t xml:space="preserve">Figure </w:t>
      </w:r>
      <w:r>
        <w:fldChar w:fldCharType="begin"/>
      </w:r>
      <w:r>
        <w:instrText xml:space="preserve"> SEQ Figure \* ARABIC </w:instrText>
      </w:r>
      <w:r>
        <w:fldChar w:fldCharType="separate"/>
      </w:r>
      <w:r>
        <w:rPr>
          <w:noProof/>
        </w:rPr>
        <w:t>1</w:t>
      </w:r>
      <w:r>
        <w:rPr>
          <w:noProof/>
        </w:rPr>
        <w:fldChar w:fldCharType="end"/>
      </w:r>
      <w:r>
        <w:t xml:space="preserve"> - Black Hawk and Spud Patch Placer Location – Source BOYD 2025</w:t>
      </w:r>
    </w:p>
    <w:p w14:paraId="2ED9AD0F" w14:textId="6F5A3033" w:rsidR="00E333A5" w:rsidRPr="00E333A5" w:rsidRDefault="00E333A5" w:rsidP="003343C0">
      <w:r>
        <w:lastRenderedPageBreak/>
        <w:t xml:space="preserve">The Atolia area has a long history of significant tungsten production with the Rand Mining District being the third largest primary tungsten producing area in the United States.  The addition of these two new mineral resources </w:t>
      </w:r>
      <w:r w:rsidR="009E0FEE">
        <w:t xml:space="preserve">position B&amp;N as having one of the largest unmined tungsten deposits in the United States.  </w:t>
      </w:r>
    </w:p>
    <w:p w14:paraId="47B2D960" w14:textId="6B86D657" w:rsidR="003343C0" w:rsidRDefault="003343C0" w:rsidP="003343C0">
      <w:pPr>
        <w:rPr>
          <w:b/>
          <w:bCs/>
        </w:rPr>
      </w:pPr>
      <w:r w:rsidRPr="007D61FA">
        <w:rPr>
          <w:b/>
          <w:bCs/>
        </w:rPr>
        <w:t>Mineral Resource Estimate</w:t>
      </w:r>
    </w:p>
    <w:p w14:paraId="334A178F" w14:textId="2E5E0DA0" w:rsidR="003343C0" w:rsidRDefault="003343C0" w:rsidP="003343C0">
      <w:r>
        <w:t xml:space="preserve">Mineral resource estimates for both placer deposits used </w:t>
      </w:r>
      <w:r w:rsidR="00E333A5">
        <w:t>a</w:t>
      </w:r>
      <w:r>
        <w:t xml:space="preserve"> polygonal estimation method.  Tungsten and gold grades per cubic yard were </w:t>
      </w:r>
      <w:proofErr w:type="gramStart"/>
      <w:r>
        <w:t>composited</w:t>
      </w:r>
      <w:proofErr w:type="gramEnd"/>
      <w:r>
        <w:t xml:space="preserve"> into single, per hole composites.  The grade value of each composited drill hole was then assigned to the volume of the surrounding polygon.  Grade capping was applied to each tungsten and gold assay to ensure that the influence of high-grade outliers on the overall mineral resource was limited. The economics listed below were then used to determine blocks that were above a cutoff value per cubic yard.  The cutoff value used is $5.00 per cubic yard or approximately 0.231 pounds of WO</w:t>
      </w:r>
      <w:r w:rsidRPr="003530B1">
        <w:rPr>
          <w:vertAlign w:val="subscript"/>
        </w:rPr>
        <w:t>3</w:t>
      </w:r>
      <w:r>
        <w:t xml:space="preserve"> per cubic yard.  </w:t>
      </w:r>
    </w:p>
    <w:p w14:paraId="7FF70555" w14:textId="6339A54A" w:rsidR="003343C0" w:rsidRDefault="003343C0" w:rsidP="003343C0">
      <w:pPr>
        <w:pStyle w:val="Caption"/>
        <w:keepNext/>
      </w:pPr>
      <w:r>
        <w:t xml:space="preserve">Table </w:t>
      </w:r>
      <w:r>
        <w:fldChar w:fldCharType="begin"/>
      </w:r>
      <w:r>
        <w:instrText xml:space="preserve"> SEQ Table \* ARABIC </w:instrText>
      </w:r>
      <w:r>
        <w:fldChar w:fldCharType="separate"/>
      </w:r>
      <w:r>
        <w:rPr>
          <w:noProof/>
        </w:rPr>
        <w:t>1</w:t>
      </w:r>
      <w:r>
        <w:rPr>
          <w:noProof/>
        </w:rPr>
        <w:fldChar w:fldCharType="end"/>
      </w:r>
      <w:r>
        <w:t xml:space="preserve"> -</w:t>
      </w:r>
      <w:r w:rsidRPr="00792280">
        <w:t>Economic Assumptions Used for the Black Hawk and Spud Patch Placers Mineral Resource Estimate - Source BOYD 2025</w:t>
      </w:r>
    </w:p>
    <w:tbl>
      <w:tblPr>
        <w:tblW w:w="8908" w:type="dxa"/>
        <w:tblLook w:val="04A0" w:firstRow="1" w:lastRow="0" w:firstColumn="1" w:lastColumn="0" w:noHBand="0" w:noVBand="1"/>
      </w:tblPr>
      <w:tblGrid>
        <w:gridCol w:w="3206"/>
        <w:gridCol w:w="2256"/>
        <w:gridCol w:w="1267"/>
        <w:gridCol w:w="2179"/>
      </w:tblGrid>
      <w:tr w:rsidR="003343C0" w:rsidRPr="00A00C1B" w14:paraId="5EE75A82" w14:textId="77777777" w:rsidTr="00445AA5">
        <w:trPr>
          <w:trHeight w:val="300"/>
        </w:trPr>
        <w:tc>
          <w:tcPr>
            <w:tcW w:w="3206" w:type="dxa"/>
            <w:tcBorders>
              <w:top w:val="double" w:sz="6" w:space="0" w:color="auto"/>
              <w:left w:val="double" w:sz="6" w:space="0" w:color="auto"/>
              <w:bottom w:val="single" w:sz="4" w:space="0" w:color="auto"/>
              <w:right w:val="single" w:sz="4" w:space="0" w:color="auto"/>
            </w:tcBorders>
            <w:shd w:val="clear" w:color="000000" w:fill="D9D9D9"/>
            <w:noWrap/>
            <w:vAlign w:val="bottom"/>
            <w:hideMark/>
          </w:tcPr>
          <w:p w14:paraId="66C8734C" w14:textId="77777777" w:rsidR="003343C0" w:rsidRPr="00A00C1B" w:rsidRDefault="003343C0" w:rsidP="00445AA5">
            <w:pPr>
              <w:spacing w:after="0" w:line="240" w:lineRule="auto"/>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Item</w:t>
            </w:r>
          </w:p>
        </w:tc>
        <w:tc>
          <w:tcPr>
            <w:tcW w:w="2256" w:type="dxa"/>
            <w:tcBorders>
              <w:top w:val="double" w:sz="6" w:space="0" w:color="auto"/>
              <w:left w:val="nil"/>
              <w:bottom w:val="single" w:sz="4" w:space="0" w:color="auto"/>
              <w:right w:val="single" w:sz="4" w:space="0" w:color="auto"/>
            </w:tcBorders>
            <w:shd w:val="clear" w:color="000000" w:fill="D9D9D9"/>
            <w:noWrap/>
            <w:vAlign w:val="center"/>
            <w:hideMark/>
          </w:tcPr>
          <w:p w14:paraId="32FC166F" w14:textId="77777777" w:rsidR="003343C0" w:rsidRPr="00A00C1B" w:rsidRDefault="003343C0" w:rsidP="00445AA5">
            <w:pPr>
              <w:spacing w:after="0" w:line="240" w:lineRule="auto"/>
              <w:jc w:val="center"/>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Units</w:t>
            </w:r>
          </w:p>
        </w:tc>
        <w:tc>
          <w:tcPr>
            <w:tcW w:w="1267" w:type="dxa"/>
            <w:tcBorders>
              <w:top w:val="double" w:sz="6" w:space="0" w:color="auto"/>
              <w:left w:val="nil"/>
              <w:bottom w:val="single" w:sz="4" w:space="0" w:color="auto"/>
              <w:right w:val="nil"/>
            </w:tcBorders>
            <w:shd w:val="clear" w:color="000000" w:fill="D9D9D9"/>
            <w:noWrap/>
            <w:vAlign w:val="center"/>
            <w:hideMark/>
          </w:tcPr>
          <w:p w14:paraId="0BF5626A" w14:textId="77777777" w:rsidR="003343C0" w:rsidRPr="00A00C1B" w:rsidRDefault="003343C0" w:rsidP="00445AA5">
            <w:pPr>
              <w:spacing w:after="0" w:line="240" w:lineRule="auto"/>
              <w:jc w:val="center"/>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Placers</w:t>
            </w:r>
          </w:p>
        </w:tc>
        <w:tc>
          <w:tcPr>
            <w:tcW w:w="2179" w:type="dxa"/>
            <w:tcBorders>
              <w:top w:val="double" w:sz="6" w:space="0" w:color="auto"/>
              <w:left w:val="single" w:sz="4" w:space="0" w:color="auto"/>
              <w:bottom w:val="single" w:sz="4" w:space="0" w:color="auto"/>
              <w:right w:val="double" w:sz="6" w:space="0" w:color="auto"/>
            </w:tcBorders>
            <w:shd w:val="clear" w:color="000000" w:fill="D9D9D9"/>
            <w:noWrap/>
            <w:vAlign w:val="center"/>
            <w:hideMark/>
          </w:tcPr>
          <w:p w14:paraId="5FCD37ED" w14:textId="77777777" w:rsidR="003343C0" w:rsidRPr="00A00C1B" w:rsidRDefault="003343C0" w:rsidP="00445AA5">
            <w:pPr>
              <w:spacing w:after="0" w:line="240" w:lineRule="auto"/>
              <w:jc w:val="center"/>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Source</w:t>
            </w:r>
          </w:p>
        </w:tc>
      </w:tr>
      <w:tr w:rsidR="003343C0" w:rsidRPr="00A00C1B" w14:paraId="4EE9DC02" w14:textId="77777777" w:rsidTr="00445AA5">
        <w:trPr>
          <w:trHeight w:val="290"/>
        </w:trPr>
        <w:tc>
          <w:tcPr>
            <w:tcW w:w="3206" w:type="dxa"/>
            <w:tcBorders>
              <w:top w:val="nil"/>
              <w:left w:val="double" w:sz="6" w:space="0" w:color="auto"/>
              <w:bottom w:val="single" w:sz="4" w:space="0" w:color="auto"/>
              <w:right w:val="nil"/>
            </w:tcBorders>
            <w:noWrap/>
            <w:vAlign w:val="center"/>
            <w:hideMark/>
          </w:tcPr>
          <w:p w14:paraId="6C881E24" w14:textId="77777777" w:rsidR="003343C0" w:rsidRPr="00A00C1B" w:rsidRDefault="003343C0" w:rsidP="00445AA5">
            <w:pPr>
              <w:spacing w:after="0" w:line="240" w:lineRule="auto"/>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Operating Costs &amp; Capital Costs</w:t>
            </w:r>
          </w:p>
        </w:tc>
        <w:tc>
          <w:tcPr>
            <w:tcW w:w="2256" w:type="dxa"/>
            <w:tcBorders>
              <w:top w:val="nil"/>
              <w:left w:val="nil"/>
              <w:bottom w:val="single" w:sz="4" w:space="0" w:color="auto"/>
              <w:right w:val="nil"/>
            </w:tcBorders>
            <w:noWrap/>
            <w:vAlign w:val="bottom"/>
            <w:hideMark/>
          </w:tcPr>
          <w:p w14:paraId="3CF94104" w14:textId="77777777" w:rsidR="003343C0" w:rsidRPr="00A00C1B" w:rsidRDefault="003343C0" w:rsidP="00445AA5">
            <w:pPr>
              <w:spacing w:after="0" w:line="240" w:lineRule="auto"/>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 </w:t>
            </w:r>
          </w:p>
        </w:tc>
        <w:tc>
          <w:tcPr>
            <w:tcW w:w="1267" w:type="dxa"/>
            <w:tcBorders>
              <w:top w:val="nil"/>
              <w:left w:val="nil"/>
              <w:bottom w:val="single" w:sz="4" w:space="0" w:color="auto"/>
              <w:right w:val="nil"/>
            </w:tcBorders>
            <w:noWrap/>
            <w:vAlign w:val="bottom"/>
            <w:hideMark/>
          </w:tcPr>
          <w:p w14:paraId="41400CB2" w14:textId="77777777" w:rsidR="003343C0" w:rsidRPr="00A00C1B" w:rsidRDefault="003343C0" w:rsidP="00445AA5">
            <w:pPr>
              <w:spacing w:after="0" w:line="240" w:lineRule="auto"/>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 </w:t>
            </w:r>
          </w:p>
        </w:tc>
        <w:tc>
          <w:tcPr>
            <w:tcW w:w="2179" w:type="dxa"/>
            <w:tcBorders>
              <w:top w:val="nil"/>
              <w:left w:val="nil"/>
              <w:bottom w:val="single" w:sz="4" w:space="0" w:color="auto"/>
              <w:right w:val="double" w:sz="6" w:space="0" w:color="auto"/>
            </w:tcBorders>
            <w:noWrap/>
            <w:vAlign w:val="bottom"/>
            <w:hideMark/>
          </w:tcPr>
          <w:p w14:paraId="5133E520" w14:textId="77777777" w:rsidR="003343C0" w:rsidRPr="00A00C1B" w:rsidRDefault="003343C0" w:rsidP="00445AA5">
            <w:pPr>
              <w:spacing w:after="0" w:line="240" w:lineRule="auto"/>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 </w:t>
            </w:r>
          </w:p>
        </w:tc>
      </w:tr>
      <w:tr w:rsidR="003343C0" w:rsidRPr="00A00C1B" w14:paraId="7D0EA623" w14:textId="77777777" w:rsidTr="00445AA5">
        <w:trPr>
          <w:trHeight w:val="300"/>
        </w:trPr>
        <w:tc>
          <w:tcPr>
            <w:tcW w:w="3206" w:type="dxa"/>
            <w:tcBorders>
              <w:top w:val="nil"/>
              <w:left w:val="double" w:sz="6" w:space="0" w:color="auto"/>
              <w:bottom w:val="nil"/>
              <w:right w:val="single" w:sz="4" w:space="0" w:color="auto"/>
            </w:tcBorders>
            <w:noWrap/>
            <w:vAlign w:val="bottom"/>
            <w:hideMark/>
          </w:tcPr>
          <w:p w14:paraId="7CAA1B54" w14:textId="77777777" w:rsidR="003343C0" w:rsidRPr="00A00C1B" w:rsidRDefault="003343C0" w:rsidP="00445AA5">
            <w:pPr>
              <w:spacing w:after="0" w:line="240" w:lineRule="auto"/>
              <w:ind w:firstLineChars="100" w:firstLine="220"/>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Ore Mining Cost</w:t>
            </w:r>
          </w:p>
        </w:tc>
        <w:tc>
          <w:tcPr>
            <w:tcW w:w="2256" w:type="dxa"/>
            <w:tcBorders>
              <w:top w:val="nil"/>
              <w:left w:val="nil"/>
              <w:bottom w:val="nil"/>
              <w:right w:val="single" w:sz="4" w:space="0" w:color="auto"/>
            </w:tcBorders>
            <w:noWrap/>
            <w:vAlign w:val="center"/>
            <w:hideMark/>
          </w:tcPr>
          <w:p w14:paraId="24E76738"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US$/Ore Short Ton</w:t>
            </w:r>
          </w:p>
        </w:tc>
        <w:tc>
          <w:tcPr>
            <w:tcW w:w="1267" w:type="dxa"/>
            <w:tcBorders>
              <w:top w:val="nil"/>
              <w:left w:val="nil"/>
              <w:bottom w:val="nil"/>
              <w:right w:val="single" w:sz="4" w:space="0" w:color="auto"/>
            </w:tcBorders>
            <w:noWrap/>
            <w:vAlign w:val="center"/>
            <w:hideMark/>
          </w:tcPr>
          <w:p w14:paraId="5C6F9301"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$1.19</w:t>
            </w:r>
          </w:p>
        </w:tc>
        <w:tc>
          <w:tcPr>
            <w:tcW w:w="2179" w:type="dxa"/>
            <w:tcBorders>
              <w:top w:val="nil"/>
              <w:left w:val="nil"/>
              <w:bottom w:val="nil"/>
              <w:right w:val="double" w:sz="6" w:space="0" w:color="auto"/>
            </w:tcBorders>
            <w:noWrap/>
            <w:vAlign w:val="center"/>
            <w:hideMark/>
          </w:tcPr>
          <w:p w14:paraId="3F676807"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Boyd, 2023</w:t>
            </w:r>
          </w:p>
        </w:tc>
      </w:tr>
      <w:tr w:rsidR="003343C0" w:rsidRPr="00A00C1B" w14:paraId="38B45DC4" w14:textId="77777777" w:rsidTr="00445AA5">
        <w:trPr>
          <w:trHeight w:val="300"/>
        </w:trPr>
        <w:tc>
          <w:tcPr>
            <w:tcW w:w="3206" w:type="dxa"/>
            <w:tcBorders>
              <w:top w:val="nil"/>
              <w:left w:val="double" w:sz="6" w:space="0" w:color="auto"/>
              <w:bottom w:val="nil"/>
              <w:right w:val="single" w:sz="4" w:space="0" w:color="auto"/>
            </w:tcBorders>
            <w:noWrap/>
            <w:vAlign w:val="bottom"/>
            <w:hideMark/>
          </w:tcPr>
          <w:p w14:paraId="36088580" w14:textId="77777777" w:rsidR="003343C0" w:rsidRPr="00A00C1B" w:rsidRDefault="003343C0" w:rsidP="00445AA5">
            <w:pPr>
              <w:spacing w:after="0" w:line="240" w:lineRule="auto"/>
              <w:ind w:firstLineChars="100" w:firstLine="220"/>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Waste Mining Cost</w:t>
            </w:r>
          </w:p>
        </w:tc>
        <w:tc>
          <w:tcPr>
            <w:tcW w:w="2256" w:type="dxa"/>
            <w:tcBorders>
              <w:top w:val="nil"/>
              <w:left w:val="nil"/>
              <w:bottom w:val="nil"/>
              <w:right w:val="single" w:sz="4" w:space="0" w:color="auto"/>
            </w:tcBorders>
            <w:noWrap/>
            <w:vAlign w:val="center"/>
            <w:hideMark/>
          </w:tcPr>
          <w:p w14:paraId="7FF651D8"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US$/Waste Short Ton</w:t>
            </w:r>
          </w:p>
        </w:tc>
        <w:tc>
          <w:tcPr>
            <w:tcW w:w="1267" w:type="dxa"/>
            <w:tcBorders>
              <w:top w:val="nil"/>
              <w:left w:val="nil"/>
              <w:bottom w:val="nil"/>
              <w:right w:val="single" w:sz="4" w:space="0" w:color="auto"/>
            </w:tcBorders>
            <w:noWrap/>
            <w:vAlign w:val="center"/>
            <w:hideMark/>
          </w:tcPr>
          <w:p w14:paraId="27AEBD36"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$1.26</w:t>
            </w:r>
          </w:p>
        </w:tc>
        <w:tc>
          <w:tcPr>
            <w:tcW w:w="2179" w:type="dxa"/>
            <w:tcBorders>
              <w:top w:val="nil"/>
              <w:left w:val="nil"/>
              <w:bottom w:val="nil"/>
              <w:right w:val="double" w:sz="6" w:space="0" w:color="auto"/>
            </w:tcBorders>
            <w:noWrap/>
            <w:vAlign w:val="center"/>
            <w:hideMark/>
          </w:tcPr>
          <w:p w14:paraId="759D9043"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Boyd, 2023</w:t>
            </w:r>
          </w:p>
        </w:tc>
      </w:tr>
      <w:tr w:rsidR="003343C0" w:rsidRPr="00A00C1B" w14:paraId="37479B2F" w14:textId="77777777" w:rsidTr="00445AA5">
        <w:trPr>
          <w:trHeight w:val="300"/>
        </w:trPr>
        <w:tc>
          <w:tcPr>
            <w:tcW w:w="3206" w:type="dxa"/>
            <w:tcBorders>
              <w:top w:val="nil"/>
              <w:left w:val="double" w:sz="6" w:space="0" w:color="auto"/>
              <w:bottom w:val="nil"/>
              <w:right w:val="single" w:sz="4" w:space="0" w:color="auto"/>
            </w:tcBorders>
            <w:noWrap/>
            <w:vAlign w:val="bottom"/>
            <w:hideMark/>
          </w:tcPr>
          <w:p w14:paraId="7A7DF2C1" w14:textId="77777777" w:rsidR="003343C0" w:rsidRPr="00A00C1B" w:rsidRDefault="003343C0" w:rsidP="00445AA5">
            <w:pPr>
              <w:spacing w:after="0" w:line="240" w:lineRule="auto"/>
              <w:ind w:firstLineChars="100" w:firstLine="220"/>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Gold &amp; Tungsten Processing</w:t>
            </w:r>
          </w:p>
        </w:tc>
        <w:tc>
          <w:tcPr>
            <w:tcW w:w="2256" w:type="dxa"/>
            <w:tcBorders>
              <w:top w:val="nil"/>
              <w:left w:val="nil"/>
              <w:bottom w:val="nil"/>
              <w:right w:val="single" w:sz="4" w:space="0" w:color="auto"/>
            </w:tcBorders>
            <w:noWrap/>
            <w:vAlign w:val="center"/>
            <w:hideMark/>
          </w:tcPr>
          <w:p w14:paraId="4CD6CC0D"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US$/Ore Short Ton</w:t>
            </w:r>
          </w:p>
        </w:tc>
        <w:tc>
          <w:tcPr>
            <w:tcW w:w="1267" w:type="dxa"/>
            <w:tcBorders>
              <w:top w:val="nil"/>
              <w:left w:val="nil"/>
              <w:bottom w:val="nil"/>
              <w:right w:val="single" w:sz="4" w:space="0" w:color="auto"/>
            </w:tcBorders>
            <w:noWrap/>
            <w:vAlign w:val="center"/>
            <w:hideMark/>
          </w:tcPr>
          <w:p w14:paraId="675EE4F7"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$0.59</w:t>
            </w:r>
          </w:p>
        </w:tc>
        <w:tc>
          <w:tcPr>
            <w:tcW w:w="2179" w:type="dxa"/>
            <w:tcBorders>
              <w:top w:val="nil"/>
              <w:left w:val="nil"/>
              <w:bottom w:val="nil"/>
              <w:right w:val="double" w:sz="6" w:space="0" w:color="auto"/>
            </w:tcBorders>
            <w:noWrap/>
            <w:vAlign w:val="center"/>
            <w:hideMark/>
          </w:tcPr>
          <w:p w14:paraId="3E82B431"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Boyd, 2025</w:t>
            </w:r>
          </w:p>
        </w:tc>
      </w:tr>
      <w:tr w:rsidR="003343C0" w:rsidRPr="00A00C1B" w14:paraId="638D44E8" w14:textId="77777777" w:rsidTr="00445AA5">
        <w:trPr>
          <w:trHeight w:val="300"/>
        </w:trPr>
        <w:tc>
          <w:tcPr>
            <w:tcW w:w="3206" w:type="dxa"/>
            <w:tcBorders>
              <w:top w:val="nil"/>
              <w:left w:val="double" w:sz="6" w:space="0" w:color="auto"/>
              <w:bottom w:val="nil"/>
              <w:right w:val="single" w:sz="4" w:space="0" w:color="auto"/>
            </w:tcBorders>
            <w:noWrap/>
            <w:vAlign w:val="bottom"/>
            <w:hideMark/>
          </w:tcPr>
          <w:p w14:paraId="51193CAE" w14:textId="77777777" w:rsidR="003343C0" w:rsidRPr="00A00C1B" w:rsidRDefault="003343C0" w:rsidP="00445AA5">
            <w:pPr>
              <w:spacing w:after="0" w:line="240" w:lineRule="auto"/>
              <w:ind w:firstLineChars="100" w:firstLine="220"/>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G&amp;A Cost</w:t>
            </w:r>
          </w:p>
        </w:tc>
        <w:tc>
          <w:tcPr>
            <w:tcW w:w="2256" w:type="dxa"/>
            <w:tcBorders>
              <w:top w:val="nil"/>
              <w:left w:val="nil"/>
              <w:bottom w:val="nil"/>
              <w:right w:val="single" w:sz="4" w:space="0" w:color="auto"/>
            </w:tcBorders>
            <w:noWrap/>
            <w:vAlign w:val="center"/>
            <w:hideMark/>
          </w:tcPr>
          <w:p w14:paraId="5039BA8C"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US$/Ore Short Ton</w:t>
            </w:r>
          </w:p>
        </w:tc>
        <w:tc>
          <w:tcPr>
            <w:tcW w:w="1267" w:type="dxa"/>
            <w:tcBorders>
              <w:top w:val="nil"/>
              <w:left w:val="nil"/>
              <w:bottom w:val="nil"/>
              <w:right w:val="single" w:sz="4" w:space="0" w:color="auto"/>
            </w:tcBorders>
            <w:noWrap/>
            <w:vAlign w:val="center"/>
            <w:hideMark/>
          </w:tcPr>
          <w:p w14:paraId="51B676CF"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$1.00</w:t>
            </w:r>
          </w:p>
        </w:tc>
        <w:tc>
          <w:tcPr>
            <w:tcW w:w="2179" w:type="dxa"/>
            <w:tcBorders>
              <w:top w:val="nil"/>
              <w:left w:val="nil"/>
              <w:bottom w:val="nil"/>
              <w:right w:val="double" w:sz="6" w:space="0" w:color="auto"/>
            </w:tcBorders>
            <w:noWrap/>
            <w:vAlign w:val="center"/>
            <w:hideMark/>
          </w:tcPr>
          <w:p w14:paraId="5FF8B6E4"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Boyd, 2023</w:t>
            </w:r>
          </w:p>
        </w:tc>
      </w:tr>
      <w:tr w:rsidR="003343C0" w:rsidRPr="00A00C1B" w14:paraId="6642118E" w14:textId="77777777" w:rsidTr="00445AA5">
        <w:trPr>
          <w:trHeight w:val="290"/>
        </w:trPr>
        <w:tc>
          <w:tcPr>
            <w:tcW w:w="3206" w:type="dxa"/>
            <w:tcBorders>
              <w:top w:val="nil"/>
              <w:left w:val="double" w:sz="6" w:space="0" w:color="auto"/>
              <w:bottom w:val="nil"/>
              <w:right w:val="single" w:sz="4" w:space="0" w:color="auto"/>
            </w:tcBorders>
            <w:noWrap/>
            <w:vAlign w:val="bottom"/>
            <w:hideMark/>
          </w:tcPr>
          <w:p w14:paraId="3D9970B1" w14:textId="77777777" w:rsidR="003343C0" w:rsidRPr="00A00C1B" w:rsidRDefault="003343C0" w:rsidP="00445AA5">
            <w:pPr>
              <w:spacing w:after="0" w:line="240" w:lineRule="auto"/>
              <w:ind w:firstLineChars="100" w:firstLine="220"/>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Selling Cost</w:t>
            </w:r>
          </w:p>
        </w:tc>
        <w:tc>
          <w:tcPr>
            <w:tcW w:w="2256" w:type="dxa"/>
            <w:tcBorders>
              <w:top w:val="nil"/>
              <w:left w:val="nil"/>
              <w:bottom w:val="nil"/>
              <w:right w:val="single" w:sz="4" w:space="0" w:color="auto"/>
            </w:tcBorders>
            <w:noWrap/>
            <w:vAlign w:val="center"/>
            <w:hideMark/>
          </w:tcPr>
          <w:p w14:paraId="42850C2B"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US$/Au Troy Oz</w:t>
            </w:r>
          </w:p>
        </w:tc>
        <w:tc>
          <w:tcPr>
            <w:tcW w:w="1267" w:type="dxa"/>
            <w:tcBorders>
              <w:top w:val="nil"/>
              <w:left w:val="nil"/>
              <w:bottom w:val="nil"/>
              <w:right w:val="single" w:sz="4" w:space="0" w:color="auto"/>
            </w:tcBorders>
            <w:noWrap/>
            <w:vAlign w:val="center"/>
            <w:hideMark/>
          </w:tcPr>
          <w:p w14:paraId="0530AD9C"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$5.00</w:t>
            </w:r>
          </w:p>
        </w:tc>
        <w:tc>
          <w:tcPr>
            <w:tcW w:w="2179" w:type="dxa"/>
            <w:tcBorders>
              <w:top w:val="nil"/>
              <w:left w:val="nil"/>
              <w:bottom w:val="nil"/>
              <w:right w:val="double" w:sz="6" w:space="0" w:color="auto"/>
            </w:tcBorders>
            <w:noWrap/>
            <w:vAlign w:val="center"/>
            <w:hideMark/>
          </w:tcPr>
          <w:p w14:paraId="3780E0EF"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Boyd, 2025</w:t>
            </w:r>
          </w:p>
        </w:tc>
      </w:tr>
      <w:tr w:rsidR="003343C0" w:rsidRPr="00A00C1B" w14:paraId="76A0B7C7" w14:textId="77777777" w:rsidTr="00445AA5">
        <w:trPr>
          <w:trHeight w:val="290"/>
        </w:trPr>
        <w:tc>
          <w:tcPr>
            <w:tcW w:w="3206" w:type="dxa"/>
            <w:tcBorders>
              <w:top w:val="nil"/>
              <w:left w:val="double" w:sz="6" w:space="0" w:color="auto"/>
              <w:bottom w:val="nil"/>
              <w:right w:val="single" w:sz="4" w:space="0" w:color="auto"/>
            </w:tcBorders>
            <w:noWrap/>
            <w:vAlign w:val="bottom"/>
            <w:hideMark/>
          </w:tcPr>
          <w:p w14:paraId="0FA86189" w14:textId="77777777" w:rsidR="003343C0" w:rsidRPr="00A00C1B" w:rsidRDefault="003343C0" w:rsidP="00445AA5">
            <w:pPr>
              <w:spacing w:after="0" w:line="240" w:lineRule="auto"/>
              <w:ind w:firstLineChars="100" w:firstLine="220"/>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 xml:space="preserve">Gold Recovery </w:t>
            </w:r>
          </w:p>
        </w:tc>
        <w:tc>
          <w:tcPr>
            <w:tcW w:w="2256" w:type="dxa"/>
            <w:tcBorders>
              <w:top w:val="nil"/>
              <w:left w:val="nil"/>
              <w:bottom w:val="nil"/>
              <w:right w:val="single" w:sz="4" w:space="0" w:color="auto"/>
            </w:tcBorders>
            <w:noWrap/>
            <w:vAlign w:val="center"/>
            <w:hideMark/>
          </w:tcPr>
          <w:p w14:paraId="49B27C4B"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w:t>
            </w:r>
          </w:p>
        </w:tc>
        <w:tc>
          <w:tcPr>
            <w:tcW w:w="1267" w:type="dxa"/>
            <w:tcBorders>
              <w:top w:val="nil"/>
              <w:left w:val="nil"/>
              <w:bottom w:val="nil"/>
              <w:right w:val="single" w:sz="4" w:space="0" w:color="auto"/>
            </w:tcBorders>
            <w:noWrap/>
            <w:vAlign w:val="center"/>
            <w:hideMark/>
          </w:tcPr>
          <w:p w14:paraId="5F571393"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80.00%</w:t>
            </w:r>
          </w:p>
        </w:tc>
        <w:tc>
          <w:tcPr>
            <w:tcW w:w="2179" w:type="dxa"/>
            <w:tcBorders>
              <w:top w:val="nil"/>
              <w:left w:val="nil"/>
              <w:bottom w:val="nil"/>
              <w:right w:val="double" w:sz="6" w:space="0" w:color="auto"/>
            </w:tcBorders>
            <w:noWrap/>
            <w:vAlign w:val="center"/>
            <w:hideMark/>
          </w:tcPr>
          <w:p w14:paraId="2A96CF70"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Boyd, 2025</w:t>
            </w:r>
          </w:p>
        </w:tc>
      </w:tr>
      <w:tr w:rsidR="003343C0" w:rsidRPr="00A00C1B" w14:paraId="72895555" w14:textId="77777777" w:rsidTr="00445AA5">
        <w:trPr>
          <w:trHeight w:val="330"/>
        </w:trPr>
        <w:tc>
          <w:tcPr>
            <w:tcW w:w="3206" w:type="dxa"/>
            <w:tcBorders>
              <w:top w:val="nil"/>
              <w:left w:val="double" w:sz="6" w:space="0" w:color="auto"/>
              <w:bottom w:val="single" w:sz="4" w:space="0" w:color="auto"/>
              <w:right w:val="single" w:sz="4" w:space="0" w:color="auto"/>
            </w:tcBorders>
            <w:noWrap/>
            <w:vAlign w:val="bottom"/>
            <w:hideMark/>
          </w:tcPr>
          <w:p w14:paraId="0EB7410F" w14:textId="77777777" w:rsidR="003343C0" w:rsidRPr="00A00C1B" w:rsidRDefault="003343C0" w:rsidP="00445AA5">
            <w:pPr>
              <w:spacing w:after="0" w:line="240" w:lineRule="auto"/>
              <w:ind w:firstLineChars="100" w:firstLine="220"/>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WO</w:t>
            </w:r>
            <w:r w:rsidRPr="00A00C1B">
              <w:rPr>
                <w:rFonts w:ascii="Calibri" w:eastAsia="Times New Roman" w:hAnsi="Calibri" w:cs="Calibri"/>
                <w:color w:val="000000"/>
                <w:kern w:val="0"/>
                <w:sz w:val="22"/>
                <w:szCs w:val="22"/>
                <w:vertAlign w:val="subscript"/>
                <w14:ligatures w14:val="none"/>
              </w:rPr>
              <w:t>3</w:t>
            </w:r>
            <w:r w:rsidRPr="00A00C1B">
              <w:rPr>
                <w:rFonts w:ascii="Calibri" w:eastAsia="Times New Roman" w:hAnsi="Calibri" w:cs="Calibri"/>
                <w:color w:val="000000"/>
                <w:kern w:val="0"/>
                <w:sz w:val="22"/>
                <w:szCs w:val="22"/>
                <w14:ligatures w14:val="none"/>
              </w:rPr>
              <w:t xml:space="preserve"> Recovery</w:t>
            </w:r>
          </w:p>
        </w:tc>
        <w:tc>
          <w:tcPr>
            <w:tcW w:w="2256" w:type="dxa"/>
            <w:tcBorders>
              <w:top w:val="nil"/>
              <w:left w:val="nil"/>
              <w:bottom w:val="single" w:sz="4" w:space="0" w:color="auto"/>
              <w:right w:val="single" w:sz="4" w:space="0" w:color="auto"/>
            </w:tcBorders>
            <w:noWrap/>
            <w:vAlign w:val="center"/>
            <w:hideMark/>
          </w:tcPr>
          <w:p w14:paraId="2747A85A"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w:t>
            </w:r>
          </w:p>
        </w:tc>
        <w:tc>
          <w:tcPr>
            <w:tcW w:w="1267" w:type="dxa"/>
            <w:tcBorders>
              <w:top w:val="nil"/>
              <w:left w:val="nil"/>
              <w:bottom w:val="single" w:sz="4" w:space="0" w:color="auto"/>
              <w:right w:val="single" w:sz="4" w:space="0" w:color="auto"/>
            </w:tcBorders>
            <w:noWrap/>
            <w:vAlign w:val="center"/>
            <w:hideMark/>
          </w:tcPr>
          <w:p w14:paraId="03125E9D"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90.00%</w:t>
            </w:r>
          </w:p>
        </w:tc>
        <w:tc>
          <w:tcPr>
            <w:tcW w:w="2179" w:type="dxa"/>
            <w:tcBorders>
              <w:top w:val="nil"/>
              <w:left w:val="nil"/>
              <w:bottom w:val="single" w:sz="4" w:space="0" w:color="auto"/>
              <w:right w:val="double" w:sz="6" w:space="0" w:color="auto"/>
            </w:tcBorders>
            <w:noWrap/>
            <w:vAlign w:val="center"/>
            <w:hideMark/>
          </w:tcPr>
          <w:p w14:paraId="72C45F4F"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Boyd, 2025</w:t>
            </w:r>
          </w:p>
        </w:tc>
      </w:tr>
      <w:tr w:rsidR="003343C0" w:rsidRPr="00A00C1B" w14:paraId="42FD506C" w14:textId="77777777" w:rsidTr="00445AA5">
        <w:trPr>
          <w:trHeight w:val="290"/>
        </w:trPr>
        <w:tc>
          <w:tcPr>
            <w:tcW w:w="3206" w:type="dxa"/>
            <w:tcBorders>
              <w:top w:val="single" w:sz="4" w:space="0" w:color="auto"/>
              <w:left w:val="double" w:sz="6" w:space="0" w:color="auto"/>
              <w:bottom w:val="single" w:sz="4" w:space="0" w:color="auto"/>
              <w:right w:val="nil"/>
            </w:tcBorders>
            <w:noWrap/>
            <w:vAlign w:val="center"/>
            <w:hideMark/>
          </w:tcPr>
          <w:p w14:paraId="199B838F" w14:textId="77777777" w:rsidR="003343C0" w:rsidRPr="00A00C1B" w:rsidRDefault="003343C0" w:rsidP="00445AA5">
            <w:pPr>
              <w:spacing w:after="0" w:line="240" w:lineRule="auto"/>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Metal Prices</w:t>
            </w:r>
          </w:p>
        </w:tc>
        <w:tc>
          <w:tcPr>
            <w:tcW w:w="2256" w:type="dxa"/>
            <w:tcBorders>
              <w:top w:val="single" w:sz="4" w:space="0" w:color="auto"/>
              <w:left w:val="nil"/>
              <w:bottom w:val="single" w:sz="4" w:space="0" w:color="auto"/>
              <w:right w:val="nil"/>
            </w:tcBorders>
            <w:noWrap/>
            <w:vAlign w:val="bottom"/>
            <w:hideMark/>
          </w:tcPr>
          <w:p w14:paraId="7E12CB27" w14:textId="77777777" w:rsidR="003343C0" w:rsidRPr="00A00C1B" w:rsidRDefault="003343C0" w:rsidP="00445AA5">
            <w:pPr>
              <w:spacing w:after="0" w:line="240" w:lineRule="auto"/>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 </w:t>
            </w:r>
          </w:p>
        </w:tc>
        <w:tc>
          <w:tcPr>
            <w:tcW w:w="1267" w:type="dxa"/>
            <w:tcBorders>
              <w:top w:val="nil"/>
              <w:left w:val="nil"/>
              <w:bottom w:val="single" w:sz="4" w:space="0" w:color="auto"/>
              <w:right w:val="nil"/>
            </w:tcBorders>
            <w:noWrap/>
            <w:vAlign w:val="bottom"/>
            <w:hideMark/>
          </w:tcPr>
          <w:p w14:paraId="32089EF0" w14:textId="77777777" w:rsidR="003343C0" w:rsidRPr="00A00C1B" w:rsidRDefault="003343C0" w:rsidP="00445AA5">
            <w:pPr>
              <w:spacing w:after="0" w:line="240" w:lineRule="auto"/>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 </w:t>
            </w:r>
          </w:p>
        </w:tc>
        <w:tc>
          <w:tcPr>
            <w:tcW w:w="2179" w:type="dxa"/>
            <w:tcBorders>
              <w:top w:val="nil"/>
              <w:left w:val="nil"/>
              <w:bottom w:val="single" w:sz="4" w:space="0" w:color="auto"/>
              <w:right w:val="double" w:sz="6" w:space="0" w:color="auto"/>
            </w:tcBorders>
            <w:noWrap/>
            <w:vAlign w:val="bottom"/>
            <w:hideMark/>
          </w:tcPr>
          <w:p w14:paraId="0FC63C20" w14:textId="77777777" w:rsidR="003343C0" w:rsidRPr="00A00C1B" w:rsidRDefault="003343C0" w:rsidP="00445AA5">
            <w:pPr>
              <w:spacing w:after="0" w:line="240" w:lineRule="auto"/>
              <w:rPr>
                <w:rFonts w:ascii="Calibri" w:eastAsia="Times New Roman" w:hAnsi="Calibri" w:cs="Calibri"/>
                <w:b/>
                <w:bCs/>
                <w:color w:val="000000"/>
                <w:kern w:val="0"/>
                <w:sz w:val="22"/>
                <w:szCs w:val="22"/>
                <w14:ligatures w14:val="none"/>
              </w:rPr>
            </w:pPr>
            <w:r w:rsidRPr="00A00C1B">
              <w:rPr>
                <w:rFonts w:ascii="Calibri" w:eastAsia="Times New Roman" w:hAnsi="Calibri" w:cs="Calibri"/>
                <w:b/>
                <w:bCs/>
                <w:color w:val="000000"/>
                <w:kern w:val="0"/>
                <w:sz w:val="22"/>
                <w:szCs w:val="22"/>
                <w14:ligatures w14:val="none"/>
              </w:rPr>
              <w:t> </w:t>
            </w:r>
          </w:p>
        </w:tc>
      </w:tr>
      <w:tr w:rsidR="003343C0" w:rsidRPr="00A00C1B" w14:paraId="1F0A226F" w14:textId="77777777" w:rsidTr="00445AA5">
        <w:trPr>
          <w:trHeight w:val="290"/>
        </w:trPr>
        <w:tc>
          <w:tcPr>
            <w:tcW w:w="3206" w:type="dxa"/>
            <w:tcBorders>
              <w:top w:val="nil"/>
              <w:left w:val="double" w:sz="6" w:space="0" w:color="auto"/>
              <w:bottom w:val="nil"/>
              <w:right w:val="single" w:sz="4" w:space="0" w:color="auto"/>
            </w:tcBorders>
            <w:noWrap/>
            <w:vAlign w:val="bottom"/>
            <w:hideMark/>
          </w:tcPr>
          <w:p w14:paraId="0B030CF0" w14:textId="77777777" w:rsidR="003343C0" w:rsidRPr="00A00C1B" w:rsidRDefault="003343C0" w:rsidP="00445AA5">
            <w:pPr>
              <w:spacing w:after="0" w:line="240" w:lineRule="auto"/>
              <w:ind w:firstLineChars="100" w:firstLine="220"/>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Gold Price</w:t>
            </w:r>
          </w:p>
        </w:tc>
        <w:tc>
          <w:tcPr>
            <w:tcW w:w="2256" w:type="dxa"/>
            <w:tcBorders>
              <w:top w:val="nil"/>
              <w:left w:val="nil"/>
              <w:bottom w:val="nil"/>
              <w:right w:val="single" w:sz="4" w:space="0" w:color="auto"/>
            </w:tcBorders>
            <w:noWrap/>
            <w:vAlign w:val="center"/>
            <w:hideMark/>
          </w:tcPr>
          <w:p w14:paraId="0F141487"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US$/Troy Oz</w:t>
            </w:r>
          </w:p>
        </w:tc>
        <w:tc>
          <w:tcPr>
            <w:tcW w:w="1267" w:type="dxa"/>
            <w:tcBorders>
              <w:top w:val="nil"/>
              <w:left w:val="nil"/>
              <w:bottom w:val="nil"/>
              <w:right w:val="single" w:sz="4" w:space="0" w:color="auto"/>
            </w:tcBorders>
            <w:noWrap/>
            <w:vAlign w:val="center"/>
            <w:hideMark/>
          </w:tcPr>
          <w:p w14:paraId="10644182"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 xml:space="preserve">$2,373.00 </w:t>
            </w:r>
          </w:p>
        </w:tc>
        <w:tc>
          <w:tcPr>
            <w:tcW w:w="2179" w:type="dxa"/>
            <w:tcBorders>
              <w:top w:val="nil"/>
              <w:left w:val="nil"/>
              <w:bottom w:val="nil"/>
              <w:right w:val="double" w:sz="6" w:space="0" w:color="auto"/>
            </w:tcBorders>
            <w:noWrap/>
            <w:vAlign w:val="center"/>
            <w:hideMark/>
          </w:tcPr>
          <w:p w14:paraId="7131D01F"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3-Yr Trailing Average</w:t>
            </w:r>
          </w:p>
        </w:tc>
      </w:tr>
      <w:tr w:rsidR="003343C0" w:rsidRPr="00A00C1B" w14:paraId="581F4D4E" w14:textId="77777777" w:rsidTr="00445AA5">
        <w:trPr>
          <w:trHeight w:val="340"/>
        </w:trPr>
        <w:tc>
          <w:tcPr>
            <w:tcW w:w="3206" w:type="dxa"/>
            <w:tcBorders>
              <w:top w:val="nil"/>
              <w:left w:val="double" w:sz="6" w:space="0" w:color="auto"/>
              <w:bottom w:val="double" w:sz="6" w:space="0" w:color="auto"/>
              <w:right w:val="single" w:sz="4" w:space="0" w:color="auto"/>
            </w:tcBorders>
            <w:noWrap/>
            <w:vAlign w:val="bottom"/>
            <w:hideMark/>
          </w:tcPr>
          <w:p w14:paraId="62D7C8D3" w14:textId="77777777" w:rsidR="003343C0" w:rsidRPr="00A00C1B" w:rsidRDefault="003343C0" w:rsidP="00445AA5">
            <w:pPr>
              <w:spacing w:after="0" w:line="240" w:lineRule="auto"/>
              <w:ind w:firstLineChars="100" w:firstLine="220"/>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WO</w:t>
            </w:r>
            <w:r w:rsidRPr="00A00C1B">
              <w:rPr>
                <w:rFonts w:ascii="Calibri" w:eastAsia="Times New Roman" w:hAnsi="Calibri" w:cs="Calibri"/>
                <w:color w:val="000000"/>
                <w:kern w:val="0"/>
                <w:sz w:val="22"/>
                <w:szCs w:val="22"/>
                <w:vertAlign w:val="subscript"/>
                <w14:ligatures w14:val="none"/>
              </w:rPr>
              <w:t>3</w:t>
            </w:r>
            <w:r w:rsidRPr="00A00C1B">
              <w:rPr>
                <w:rFonts w:ascii="Calibri" w:eastAsia="Times New Roman" w:hAnsi="Calibri" w:cs="Calibri"/>
                <w:color w:val="000000"/>
                <w:kern w:val="0"/>
                <w:sz w:val="22"/>
                <w:szCs w:val="22"/>
                <w14:ligatures w14:val="none"/>
              </w:rPr>
              <w:t xml:space="preserve"> Price</w:t>
            </w:r>
          </w:p>
        </w:tc>
        <w:tc>
          <w:tcPr>
            <w:tcW w:w="2256" w:type="dxa"/>
            <w:tcBorders>
              <w:top w:val="nil"/>
              <w:left w:val="nil"/>
              <w:bottom w:val="double" w:sz="6" w:space="0" w:color="auto"/>
              <w:right w:val="single" w:sz="4" w:space="0" w:color="auto"/>
            </w:tcBorders>
            <w:noWrap/>
            <w:vAlign w:val="center"/>
            <w:hideMark/>
          </w:tcPr>
          <w:p w14:paraId="0B4031F4"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US$/</w:t>
            </w:r>
            <w:proofErr w:type="spellStart"/>
            <w:r w:rsidRPr="00A00C1B">
              <w:rPr>
                <w:rFonts w:ascii="Calibri" w:eastAsia="Times New Roman" w:hAnsi="Calibri" w:cs="Calibri"/>
                <w:color w:val="000000"/>
                <w:kern w:val="0"/>
                <w:sz w:val="22"/>
                <w:szCs w:val="22"/>
                <w14:ligatures w14:val="none"/>
              </w:rPr>
              <w:t>lb</w:t>
            </w:r>
            <w:proofErr w:type="spellEnd"/>
            <w:r w:rsidRPr="00A00C1B">
              <w:rPr>
                <w:rFonts w:ascii="Calibri" w:eastAsia="Times New Roman" w:hAnsi="Calibri" w:cs="Calibri"/>
                <w:color w:val="000000"/>
                <w:kern w:val="0"/>
                <w:sz w:val="22"/>
                <w:szCs w:val="22"/>
                <w14:ligatures w14:val="none"/>
              </w:rPr>
              <w:t xml:space="preserve"> WO</w:t>
            </w:r>
            <w:r w:rsidRPr="00A00C1B">
              <w:rPr>
                <w:rFonts w:ascii="Calibri" w:eastAsia="Times New Roman" w:hAnsi="Calibri" w:cs="Calibri"/>
                <w:color w:val="000000"/>
                <w:kern w:val="0"/>
                <w:sz w:val="22"/>
                <w:szCs w:val="22"/>
                <w:vertAlign w:val="subscript"/>
                <w14:ligatures w14:val="none"/>
              </w:rPr>
              <w:t>3</w:t>
            </w:r>
          </w:p>
        </w:tc>
        <w:tc>
          <w:tcPr>
            <w:tcW w:w="1267" w:type="dxa"/>
            <w:tcBorders>
              <w:top w:val="nil"/>
              <w:left w:val="nil"/>
              <w:bottom w:val="double" w:sz="6" w:space="0" w:color="auto"/>
              <w:right w:val="single" w:sz="4" w:space="0" w:color="auto"/>
            </w:tcBorders>
            <w:noWrap/>
            <w:vAlign w:val="center"/>
            <w:hideMark/>
          </w:tcPr>
          <w:p w14:paraId="38C91550"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 xml:space="preserve">$13.13 </w:t>
            </w:r>
          </w:p>
        </w:tc>
        <w:tc>
          <w:tcPr>
            <w:tcW w:w="2179" w:type="dxa"/>
            <w:tcBorders>
              <w:top w:val="nil"/>
              <w:left w:val="nil"/>
              <w:bottom w:val="double" w:sz="6" w:space="0" w:color="auto"/>
              <w:right w:val="double" w:sz="6" w:space="0" w:color="auto"/>
            </w:tcBorders>
            <w:noWrap/>
            <w:vAlign w:val="center"/>
            <w:hideMark/>
          </w:tcPr>
          <w:p w14:paraId="15437655" w14:textId="77777777" w:rsidR="003343C0" w:rsidRPr="00A00C1B" w:rsidRDefault="003343C0" w:rsidP="00445AA5">
            <w:pPr>
              <w:spacing w:after="0" w:line="240" w:lineRule="auto"/>
              <w:jc w:val="center"/>
              <w:rPr>
                <w:rFonts w:ascii="Calibri" w:eastAsia="Times New Roman" w:hAnsi="Calibri" w:cs="Calibri"/>
                <w:color w:val="000000"/>
                <w:kern w:val="0"/>
                <w:sz w:val="22"/>
                <w:szCs w:val="22"/>
                <w14:ligatures w14:val="none"/>
              </w:rPr>
            </w:pPr>
            <w:r w:rsidRPr="00A00C1B">
              <w:rPr>
                <w:rFonts w:ascii="Calibri" w:eastAsia="Times New Roman" w:hAnsi="Calibri" w:cs="Calibri"/>
                <w:color w:val="000000"/>
                <w:kern w:val="0"/>
                <w:sz w:val="22"/>
                <w:szCs w:val="22"/>
                <w14:ligatures w14:val="none"/>
              </w:rPr>
              <w:t>3-Yr Trailing Average</w:t>
            </w:r>
          </w:p>
        </w:tc>
      </w:tr>
    </w:tbl>
    <w:p w14:paraId="43E58C8B" w14:textId="77777777" w:rsidR="003343C0" w:rsidRDefault="003343C0" w:rsidP="003343C0"/>
    <w:p w14:paraId="118CB68F" w14:textId="77777777" w:rsidR="004E78FC" w:rsidRPr="00A208EE" w:rsidRDefault="004E78FC" w:rsidP="004E78FC">
      <w:pPr>
        <w:rPr>
          <w:b/>
          <w:bCs/>
        </w:rPr>
      </w:pPr>
      <w:r w:rsidRPr="00A208EE">
        <w:rPr>
          <w:b/>
          <w:bCs/>
        </w:rPr>
        <w:t>Deposit Summaries</w:t>
      </w:r>
    </w:p>
    <w:p w14:paraId="5E444438" w14:textId="12D10599" w:rsidR="004E78FC" w:rsidRDefault="004E78FC" w:rsidP="004E78FC">
      <w:r>
        <w:rPr>
          <w:b/>
          <w:bCs/>
        </w:rPr>
        <w:t xml:space="preserve">Black Hawk Placer Deposit – </w:t>
      </w:r>
      <w:r w:rsidRPr="00CC3593">
        <w:t>Located about one mile south of Red Mountain California</w:t>
      </w:r>
      <w:r>
        <w:t>, t</w:t>
      </w:r>
      <w:r w:rsidRPr="00CC3593">
        <w:t xml:space="preserve">he </w:t>
      </w:r>
      <w:r>
        <w:t xml:space="preserve">Black Hawk placer deposit was discovered in the 1950s but was never developed commercially.  A total of 93 drill holes explored the deposit in the 1950s, 2022, and 2025.  </w:t>
      </w:r>
      <w:r w:rsidRPr="00A208EE">
        <w:t>The deposit averages 51.1 feet in depth and contains scheelite (CaWO₄</w:t>
      </w:r>
      <w:r w:rsidR="00E333A5">
        <w:t>, an important tungsten ore</w:t>
      </w:r>
      <w:r w:rsidRPr="00A208EE">
        <w:t>) and native gold in easily recoverable placer form. B&amp;N completed 41 of the 93 total drill holes in 2022–2025.</w:t>
      </w:r>
    </w:p>
    <w:p w14:paraId="7BFA01FD" w14:textId="77777777" w:rsidR="004E78FC" w:rsidRDefault="004E78FC" w:rsidP="004E78FC"/>
    <w:p w14:paraId="412B4B75" w14:textId="77777777" w:rsidR="004E78FC" w:rsidRDefault="004E78FC" w:rsidP="004E78FC">
      <w:pPr>
        <w:keepNext/>
      </w:pPr>
      <w:r>
        <w:rPr>
          <w:noProof/>
        </w:rPr>
        <w:lastRenderedPageBreak/>
        <w:drawing>
          <wp:inline distT="0" distB="0" distL="0" distR="0" wp14:anchorId="68BA1CC0" wp14:editId="46EDCF69">
            <wp:extent cx="5943600" cy="2766695"/>
            <wp:effectExtent l="0" t="0" r="0" b="0"/>
            <wp:docPr id="358681855" name="Picture 1" descr="A map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59927" name="Picture 1" descr="A map with different colors&#10;&#10;AI-generated content may be incorrect."/>
                    <pic:cNvPicPr/>
                  </pic:nvPicPr>
                  <pic:blipFill>
                    <a:blip r:embed="rId7"/>
                    <a:stretch>
                      <a:fillRect/>
                    </a:stretch>
                  </pic:blipFill>
                  <pic:spPr>
                    <a:xfrm>
                      <a:off x="0" y="0"/>
                      <a:ext cx="5943600" cy="2766695"/>
                    </a:xfrm>
                    <a:prstGeom prst="rect">
                      <a:avLst/>
                    </a:prstGeom>
                  </pic:spPr>
                </pic:pic>
              </a:graphicData>
            </a:graphic>
          </wp:inline>
        </w:drawing>
      </w:r>
    </w:p>
    <w:p w14:paraId="34FAADC8" w14:textId="77777777" w:rsidR="004E78FC" w:rsidRDefault="004E78FC" w:rsidP="004E78FC">
      <w:pPr>
        <w:pStyle w:val="Caption"/>
      </w:pPr>
      <w:r>
        <w:t xml:space="preserve">Figure </w:t>
      </w:r>
      <w:r>
        <w:fldChar w:fldCharType="begin"/>
      </w:r>
      <w:r>
        <w:instrText xml:space="preserve"> SEQ Figure \* ARABIC </w:instrText>
      </w:r>
      <w:r>
        <w:fldChar w:fldCharType="separate"/>
      </w:r>
      <w:r>
        <w:rPr>
          <w:noProof/>
        </w:rPr>
        <w:t>2</w:t>
      </w:r>
      <w:r>
        <w:rPr>
          <w:noProof/>
        </w:rPr>
        <w:fldChar w:fldCharType="end"/>
      </w:r>
      <w:r>
        <w:t xml:space="preserve"> - Black Hawk Placer Deposit - Source BOYD 2025</w:t>
      </w:r>
    </w:p>
    <w:p w14:paraId="0FE9A92D" w14:textId="77777777" w:rsidR="004E78FC" w:rsidRPr="007D61FA" w:rsidRDefault="004E78FC" w:rsidP="004E78FC">
      <w:r>
        <w:t xml:space="preserve">The Black Hawk placer covers a total of 141.6 acres of land.  All material estimated has an inferred classification.  The average gross value per cubic yard for the Black Hawk placer deposit is $40.34.  </w:t>
      </w:r>
    </w:p>
    <w:p w14:paraId="120BDCD2" w14:textId="77777777" w:rsidR="004E78FC" w:rsidRDefault="004E78FC" w:rsidP="004E78FC">
      <w:r w:rsidRPr="00A208EE">
        <w:rPr>
          <w:b/>
          <w:bCs/>
        </w:rPr>
        <w:t>Spud Patch Placer Deposit</w:t>
      </w:r>
      <w:r w:rsidRPr="00A208EE">
        <w:t xml:space="preserve"> – Located at Atolia, C</w:t>
      </w:r>
      <w:r>
        <w:t>alifornia about four</w:t>
      </w:r>
      <w:r w:rsidRPr="00A208EE">
        <w:t xml:space="preserve"> miles south of Red Mountain, Spud Patch was discovered in 1904 </w:t>
      </w:r>
      <w:r>
        <w:t xml:space="preserve">and was extensively mined between 1905 and 1950 with the greatest period of activity in 1917 and 1918.  The deposit is so named because miners would find potato sized chunks of scheelite contained in the placers.  Gold is present in the placer deposit but was never historically recovered.  A total of 74 drill holes explored the deposit in the 1930s, 40s, 50s, and 2022.  </w:t>
      </w:r>
      <w:r w:rsidRPr="00A208EE">
        <w:t xml:space="preserve">The deposit averages </w:t>
      </w:r>
      <w:r>
        <w:t>35.6</w:t>
      </w:r>
      <w:r w:rsidRPr="00A208EE">
        <w:t xml:space="preserve"> feet in depth and contains scheelite (CaWO₄) and native gold in easily recoverable placer form. B&amp;N completed </w:t>
      </w:r>
      <w:r>
        <w:t>22</w:t>
      </w:r>
      <w:r w:rsidRPr="00A208EE">
        <w:t xml:space="preserve"> of the </w:t>
      </w:r>
      <w:r>
        <w:t>74</w:t>
      </w:r>
      <w:r w:rsidRPr="00A208EE">
        <w:t xml:space="preserve"> total drill holes in 2022–2025.</w:t>
      </w:r>
      <w:r>
        <w:t xml:space="preserve"> </w:t>
      </w:r>
    </w:p>
    <w:p w14:paraId="6C2323FA" w14:textId="77777777" w:rsidR="004E78FC" w:rsidRDefault="004E78FC" w:rsidP="004E78FC">
      <w:r>
        <w:br w:type="page"/>
      </w:r>
    </w:p>
    <w:p w14:paraId="1B2816CC" w14:textId="77777777" w:rsidR="004E78FC" w:rsidRDefault="004E78FC" w:rsidP="004E78FC">
      <w:pPr>
        <w:keepNext/>
      </w:pPr>
      <w:r>
        <w:rPr>
          <w:noProof/>
        </w:rPr>
        <w:lastRenderedPageBreak/>
        <w:drawing>
          <wp:inline distT="0" distB="0" distL="0" distR="0" wp14:anchorId="2C3ACAEF" wp14:editId="6687F9DB">
            <wp:extent cx="5943600" cy="3104515"/>
            <wp:effectExtent l="0" t="0" r="0" b="635"/>
            <wp:docPr id="1086577282" name="Picture 1" descr="A map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36486" name="Picture 1" descr="A map with colorful squares&#10;&#10;AI-generated content may be incorrect."/>
                    <pic:cNvPicPr/>
                  </pic:nvPicPr>
                  <pic:blipFill>
                    <a:blip r:embed="rId8"/>
                    <a:stretch>
                      <a:fillRect/>
                    </a:stretch>
                  </pic:blipFill>
                  <pic:spPr>
                    <a:xfrm>
                      <a:off x="0" y="0"/>
                      <a:ext cx="5943600" cy="3104515"/>
                    </a:xfrm>
                    <a:prstGeom prst="rect">
                      <a:avLst/>
                    </a:prstGeom>
                  </pic:spPr>
                </pic:pic>
              </a:graphicData>
            </a:graphic>
          </wp:inline>
        </w:drawing>
      </w:r>
    </w:p>
    <w:p w14:paraId="6BFF5604" w14:textId="77777777" w:rsidR="004E78FC" w:rsidRDefault="004E78FC" w:rsidP="004E78FC">
      <w:pPr>
        <w:pStyle w:val="Caption"/>
      </w:pPr>
      <w:r>
        <w:t xml:space="preserve">Figure </w:t>
      </w:r>
      <w:r>
        <w:fldChar w:fldCharType="begin"/>
      </w:r>
      <w:r>
        <w:instrText xml:space="preserve"> SEQ Figure \* ARABIC </w:instrText>
      </w:r>
      <w:r>
        <w:fldChar w:fldCharType="separate"/>
      </w:r>
      <w:r>
        <w:rPr>
          <w:noProof/>
        </w:rPr>
        <w:t>3</w:t>
      </w:r>
      <w:r>
        <w:rPr>
          <w:noProof/>
        </w:rPr>
        <w:fldChar w:fldCharType="end"/>
      </w:r>
      <w:r>
        <w:t xml:space="preserve"> - Spud Patch {lacer Deposit - Source BOYD 2025</w:t>
      </w:r>
    </w:p>
    <w:p w14:paraId="3D93C35A" w14:textId="77777777" w:rsidR="004E78FC" w:rsidRDefault="004E78FC" w:rsidP="004E78FC">
      <w:r>
        <w:t xml:space="preserve">The Spud Patch placer covers a total of 403.9 acres of land on both B&amp;N property and non-owned B&amp;N property.  The portion of the Spud Patch Placer contained on B&amp;N owned property is 219.6 acres of which 151.5 acres are patented, and 68.1 acres are unpatented placer mining claims.  All material estimated has an inferred classification.  The average gross value per cubic yard for the Spud Patch placer deposit is $32.11.  </w:t>
      </w:r>
    </w:p>
    <w:p w14:paraId="06A667F9" w14:textId="77777777" w:rsidR="004E78FC" w:rsidRDefault="004E78FC" w:rsidP="004E78FC">
      <w:r w:rsidRPr="00097904">
        <w:t>“</w:t>
      </w:r>
      <w:r>
        <w:t>This initial mineral resource estimate significantly adds to the value of B&amp;N’s holdings in the Rand Mining District.  The tungsten contained in this mineral resource estimate will allow B&amp;N to start the process to bring into production a significant source of tungsten trioxide within the United States.  The placer material is very low cost to develop, easily processed, and environmentally clean</w:t>
      </w:r>
      <w:r w:rsidRPr="00097904">
        <w:t xml:space="preserve">,” said Sam Shoemaker, Project Manager with the John T. Boyd Company. </w:t>
      </w:r>
    </w:p>
    <w:p w14:paraId="5F1707A2" w14:textId="6AA54846" w:rsidR="004E78FC" w:rsidRDefault="004E78FC" w:rsidP="003343C0">
      <w:r>
        <w:t xml:space="preserve">The detailed mineral resource estimate is shown in Table 2.  </w:t>
      </w:r>
    </w:p>
    <w:p w14:paraId="2B04283D" w14:textId="77777777" w:rsidR="003343C0" w:rsidRDefault="003343C0" w:rsidP="003343C0"/>
    <w:p w14:paraId="629581AF" w14:textId="77777777" w:rsidR="003343C0" w:rsidRDefault="003343C0" w:rsidP="003343C0"/>
    <w:p w14:paraId="4D217446" w14:textId="77777777" w:rsidR="003343C0" w:rsidRDefault="003343C0" w:rsidP="003343C0"/>
    <w:p w14:paraId="3619469D" w14:textId="77777777" w:rsidR="003343C0" w:rsidRDefault="003343C0" w:rsidP="003343C0"/>
    <w:p w14:paraId="366284A1" w14:textId="77777777" w:rsidR="003343C0" w:rsidRDefault="003343C0" w:rsidP="003343C0"/>
    <w:p w14:paraId="2D00EB4A" w14:textId="77777777" w:rsidR="003343C0" w:rsidRPr="003530B1" w:rsidRDefault="003343C0" w:rsidP="003343C0"/>
    <w:p w14:paraId="224030B9" w14:textId="6CBBB1FB" w:rsidR="00F06785" w:rsidRDefault="00F06785" w:rsidP="00F06785">
      <w:pPr>
        <w:pStyle w:val="Caption"/>
        <w:keepNext/>
      </w:pPr>
      <w:r>
        <w:lastRenderedPageBreak/>
        <w:t xml:space="preserve">Table </w:t>
      </w:r>
      <w:r w:rsidR="003343C0">
        <w:fldChar w:fldCharType="begin"/>
      </w:r>
      <w:r w:rsidR="003343C0">
        <w:instrText xml:space="preserve"> SEQ Table \* ARABIC </w:instrText>
      </w:r>
      <w:r w:rsidR="003343C0">
        <w:fldChar w:fldCharType="separate"/>
      </w:r>
      <w:r w:rsidR="003343C0">
        <w:rPr>
          <w:noProof/>
        </w:rPr>
        <w:t>2</w:t>
      </w:r>
      <w:r w:rsidR="003343C0">
        <w:rPr>
          <w:noProof/>
        </w:rPr>
        <w:fldChar w:fldCharType="end"/>
      </w:r>
      <w:r>
        <w:t xml:space="preserve"> - Black Hawk and Spud Patch Placers Mineral Resource Estimate</w:t>
      </w:r>
      <w:r w:rsidR="00A578E9">
        <w:t xml:space="preserve"> – Source BOYD 2025</w:t>
      </w:r>
    </w:p>
    <w:tbl>
      <w:tblPr>
        <w:tblW w:w="9967" w:type="dxa"/>
        <w:tblLook w:val="04A0" w:firstRow="1" w:lastRow="0" w:firstColumn="1" w:lastColumn="0" w:noHBand="0" w:noVBand="1"/>
      </w:tblPr>
      <w:tblGrid>
        <w:gridCol w:w="1243"/>
        <w:gridCol w:w="1434"/>
        <w:gridCol w:w="1260"/>
        <w:gridCol w:w="1170"/>
        <w:gridCol w:w="1170"/>
        <w:gridCol w:w="1080"/>
        <w:gridCol w:w="1260"/>
        <w:gridCol w:w="1350"/>
      </w:tblGrid>
      <w:tr w:rsidR="0082030E" w:rsidRPr="0082030E" w14:paraId="79614CE9" w14:textId="77777777" w:rsidTr="00234CE5">
        <w:trPr>
          <w:trHeight w:val="630"/>
        </w:trPr>
        <w:tc>
          <w:tcPr>
            <w:tcW w:w="1243" w:type="dxa"/>
            <w:tcBorders>
              <w:top w:val="double" w:sz="6" w:space="0" w:color="auto"/>
              <w:left w:val="double" w:sz="6" w:space="0" w:color="auto"/>
              <w:bottom w:val="nil"/>
              <w:right w:val="single" w:sz="4" w:space="0" w:color="auto"/>
            </w:tcBorders>
            <w:shd w:val="clear" w:color="000000" w:fill="D9D9D9"/>
            <w:vAlign w:val="center"/>
            <w:hideMark/>
          </w:tcPr>
          <w:p w14:paraId="5713E07F" w14:textId="77777777" w:rsidR="0082030E" w:rsidRPr="00234CE5" w:rsidRDefault="0082030E" w:rsidP="0082030E">
            <w:pPr>
              <w:spacing w:after="0" w:line="240" w:lineRule="auto"/>
              <w:jc w:val="center"/>
              <w:rPr>
                <w:rFonts w:ascii="Aptos Narrow" w:eastAsia="Times New Roman" w:hAnsi="Aptos Narrow" w:cs="Times New Roman"/>
                <w:b/>
                <w:bCs/>
                <w:color w:val="000000"/>
                <w:kern w:val="0"/>
                <w:sz w:val="20"/>
                <w:szCs w:val="20"/>
                <w14:ligatures w14:val="none"/>
              </w:rPr>
            </w:pPr>
            <w:r w:rsidRPr="00234CE5">
              <w:rPr>
                <w:rFonts w:ascii="Aptos Narrow" w:eastAsia="Times New Roman" w:hAnsi="Aptos Narrow" w:cs="Times New Roman"/>
                <w:b/>
                <w:bCs/>
                <w:color w:val="000000"/>
                <w:kern w:val="0"/>
                <w:sz w:val="20"/>
                <w:szCs w:val="20"/>
                <w14:ligatures w14:val="none"/>
              </w:rPr>
              <w:t>Deposit</w:t>
            </w:r>
          </w:p>
        </w:tc>
        <w:tc>
          <w:tcPr>
            <w:tcW w:w="1434" w:type="dxa"/>
            <w:tcBorders>
              <w:top w:val="double" w:sz="6" w:space="0" w:color="auto"/>
              <w:left w:val="nil"/>
              <w:bottom w:val="nil"/>
              <w:right w:val="single" w:sz="4" w:space="0" w:color="auto"/>
            </w:tcBorders>
            <w:shd w:val="clear" w:color="000000" w:fill="D9D9D9"/>
            <w:vAlign w:val="center"/>
            <w:hideMark/>
          </w:tcPr>
          <w:p w14:paraId="309843ED" w14:textId="77777777" w:rsidR="0082030E" w:rsidRPr="00234CE5" w:rsidRDefault="0082030E" w:rsidP="0082030E">
            <w:pPr>
              <w:spacing w:after="0" w:line="240" w:lineRule="auto"/>
              <w:jc w:val="center"/>
              <w:rPr>
                <w:rFonts w:ascii="Aptos Narrow" w:eastAsia="Times New Roman" w:hAnsi="Aptos Narrow" w:cs="Times New Roman"/>
                <w:b/>
                <w:bCs/>
                <w:color w:val="000000"/>
                <w:kern w:val="0"/>
                <w:sz w:val="20"/>
                <w:szCs w:val="20"/>
                <w14:ligatures w14:val="none"/>
              </w:rPr>
            </w:pPr>
            <w:r w:rsidRPr="00234CE5">
              <w:rPr>
                <w:rFonts w:ascii="Aptos Narrow" w:eastAsia="Times New Roman" w:hAnsi="Aptos Narrow" w:cs="Times New Roman"/>
                <w:b/>
                <w:bCs/>
                <w:color w:val="000000"/>
                <w:kern w:val="0"/>
                <w:sz w:val="20"/>
                <w:szCs w:val="20"/>
                <w14:ligatures w14:val="none"/>
              </w:rPr>
              <w:t>Resource Classification</w:t>
            </w:r>
          </w:p>
        </w:tc>
        <w:tc>
          <w:tcPr>
            <w:tcW w:w="1260" w:type="dxa"/>
            <w:tcBorders>
              <w:top w:val="double" w:sz="6" w:space="0" w:color="auto"/>
              <w:left w:val="nil"/>
              <w:bottom w:val="nil"/>
              <w:right w:val="single" w:sz="4" w:space="0" w:color="auto"/>
            </w:tcBorders>
            <w:shd w:val="clear" w:color="000000" w:fill="D9D9D9"/>
            <w:vAlign w:val="center"/>
            <w:hideMark/>
          </w:tcPr>
          <w:p w14:paraId="5C72A221" w14:textId="77777777" w:rsidR="0082030E" w:rsidRPr="00234CE5" w:rsidRDefault="0082030E" w:rsidP="0082030E">
            <w:pPr>
              <w:spacing w:after="0" w:line="240" w:lineRule="auto"/>
              <w:jc w:val="center"/>
              <w:rPr>
                <w:rFonts w:ascii="Aptos Narrow" w:eastAsia="Times New Roman" w:hAnsi="Aptos Narrow" w:cs="Times New Roman"/>
                <w:b/>
                <w:bCs/>
                <w:color w:val="000000"/>
                <w:kern w:val="0"/>
                <w:sz w:val="20"/>
                <w:szCs w:val="20"/>
                <w14:ligatures w14:val="none"/>
              </w:rPr>
            </w:pPr>
            <w:r w:rsidRPr="00234CE5">
              <w:rPr>
                <w:rFonts w:ascii="Aptos Narrow" w:eastAsia="Times New Roman" w:hAnsi="Aptos Narrow" w:cs="Times New Roman"/>
                <w:b/>
                <w:bCs/>
                <w:color w:val="000000"/>
                <w:kern w:val="0"/>
                <w:sz w:val="20"/>
                <w:szCs w:val="20"/>
                <w14:ligatures w14:val="none"/>
              </w:rPr>
              <w:t>WO</w:t>
            </w:r>
            <w:r w:rsidRPr="00234CE5">
              <w:rPr>
                <w:rFonts w:ascii="Aptos Narrow" w:eastAsia="Times New Roman" w:hAnsi="Aptos Narrow" w:cs="Times New Roman"/>
                <w:b/>
                <w:bCs/>
                <w:color w:val="000000"/>
                <w:kern w:val="0"/>
                <w:sz w:val="20"/>
                <w:szCs w:val="20"/>
                <w:vertAlign w:val="subscript"/>
                <w14:ligatures w14:val="none"/>
              </w:rPr>
              <w:t>3</w:t>
            </w:r>
            <w:r w:rsidRPr="00234CE5">
              <w:rPr>
                <w:rFonts w:ascii="Aptos Narrow" w:eastAsia="Times New Roman" w:hAnsi="Aptos Narrow" w:cs="Times New Roman"/>
                <w:b/>
                <w:bCs/>
                <w:color w:val="000000"/>
                <w:kern w:val="0"/>
                <w:sz w:val="20"/>
                <w:szCs w:val="20"/>
                <w14:ligatures w14:val="none"/>
              </w:rPr>
              <w:t xml:space="preserve"> Cutoff (</w:t>
            </w:r>
            <w:proofErr w:type="spellStart"/>
            <w:r w:rsidRPr="00234CE5">
              <w:rPr>
                <w:rFonts w:ascii="Aptos Narrow" w:eastAsia="Times New Roman" w:hAnsi="Aptos Narrow" w:cs="Times New Roman"/>
                <w:b/>
                <w:bCs/>
                <w:color w:val="000000"/>
                <w:kern w:val="0"/>
                <w:sz w:val="20"/>
                <w:szCs w:val="20"/>
                <w14:ligatures w14:val="none"/>
              </w:rPr>
              <w:t>lbs</w:t>
            </w:r>
            <w:proofErr w:type="spellEnd"/>
            <w:r w:rsidRPr="00234CE5">
              <w:rPr>
                <w:rFonts w:ascii="Aptos Narrow" w:eastAsia="Times New Roman" w:hAnsi="Aptos Narrow" w:cs="Times New Roman"/>
                <w:b/>
                <w:bCs/>
                <w:color w:val="000000"/>
                <w:kern w:val="0"/>
                <w:sz w:val="20"/>
                <w:szCs w:val="20"/>
                <w14:ligatures w14:val="none"/>
              </w:rPr>
              <w:t>/CY)</w:t>
            </w:r>
          </w:p>
        </w:tc>
        <w:tc>
          <w:tcPr>
            <w:tcW w:w="1170" w:type="dxa"/>
            <w:tcBorders>
              <w:top w:val="double" w:sz="6" w:space="0" w:color="auto"/>
              <w:left w:val="nil"/>
              <w:bottom w:val="nil"/>
              <w:right w:val="single" w:sz="4" w:space="0" w:color="auto"/>
            </w:tcBorders>
            <w:shd w:val="clear" w:color="000000" w:fill="D9D9D9"/>
            <w:vAlign w:val="center"/>
            <w:hideMark/>
          </w:tcPr>
          <w:p w14:paraId="34C2AD52" w14:textId="77777777" w:rsidR="0082030E" w:rsidRPr="00234CE5" w:rsidRDefault="0082030E" w:rsidP="0082030E">
            <w:pPr>
              <w:spacing w:after="0" w:line="240" w:lineRule="auto"/>
              <w:jc w:val="center"/>
              <w:rPr>
                <w:rFonts w:ascii="Aptos Narrow" w:eastAsia="Times New Roman" w:hAnsi="Aptos Narrow" w:cs="Times New Roman"/>
                <w:b/>
                <w:bCs/>
                <w:color w:val="000000"/>
                <w:kern w:val="0"/>
                <w:sz w:val="20"/>
                <w:szCs w:val="20"/>
                <w14:ligatures w14:val="none"/>
              </w:rPr>
            </w:pPr>
            <w:r w:rsidRPr="00234CE5">
              <w:rPr>
                <w:rFonts w:ascii="Aptos Narrow" w:eastAsia="Times New Roman" w:hAnsi="Aptos Narrow" w:cs="Times New Roman"/>
                <w:b/>
                <w:bCs/>
                <w:color w:val="000000"/>
                <w:kern w:val="0"/>
                <w:sz w:val="20"/>
                <w:szCs w:val="20"/>
                <w14:ligatures w14:val="none"/>
              </w:rPr>
              <w:t>Cubic Yards</w:t>
            </w:r>
          </w:p>
        </w:tc>
        <w:tc>
          <w:tcPr>
            <w:tcW w:w="1170" w:type="dxa"/>
            <w:tcBorders>
              <w:top w:val="double" w:sz="6" w:space="0" w:color="auto"/>
              <w:left w:val="nil"/>
              <w:bottom w:val="nil"/>
              <w:right w:val="single" w:sz="4" w:space="0" w:color="auto"/>
            </w:tcBorders>
            <w:shd w:val="clear" w:color="000000" w:fill="D9D9D9"/>
            <w:vAlign w:val="center"/>
            <w:hideMark/>
          </w:tcPr>
          <w:p w14:paraId="2B7FFAC2" w14:textId="77777777" w:rsidR="0082030E" w:rsidRPr="00234CE5" w:rsidRDefault="0082030E" w:rsidP="0082030E">
            <w:pPr>
              <w:spacing w:after="0" w:line="240" w:lineRule="auto"/>
              <w:jc w:val="center"/>
              <w:rPr>
                <w:rFonts w:ascii="Aptos Narrow" w:eastAsia="Times New Roman" w:hAnsi="Aptos Narrow" w:cs="Times New Roman"/>
                <w:b/>
                <w:bCs/>
                <w:color w:val="000000"/>
                <w:kern w:val="0"/>
                <w:sz w:val="20"/>
                <w:szCs w:val="20"/>
                <w14:ligatures w14:val="none"/>
              </w:rPr>
            </w:pPr>
            <w:r w:rsidRPr="00234CE5">
              <w:rPr>
                <w:rFonts w:ascii="Aptos Narrow" w:eastAsia="Times New Roman" w:hAnsi="Aptos Narrow" w:cs="Times New Roman"/>
                <w:b/>
                <w:bCs/>
                <w:color w:val="000000"/>
                <w:kern w:val="0"/>
                <w:sz w:val="20"/>
                <w:szCs w:val="20"/>
                <w14:ligatures w14:val="none"/>
              </w:rPr>
              <w:t>WO</w:t>
            </w:r>
            <w:r w:rsidRPr="00234CE5">
              <w:rPr>
                <w:rFonts w:ascii="Aptos Narrow" w:eastAsia="Times New Roman" w:hAnsi="Aptos Narrow" w:cs="Times New Roman"/>
                <w:b/>
                <w:bCs/>
                <w:color w:val="000000"/>
                <w:kern w:val="0"/>
                <w:sz w:val="20"/>
                <w:szCs w:val="20"/>
                <w:vertAlign w:val="subscript"/>
                <w14:ligatures w14:val="none"/>
              </w:rPr>
              <w:t>3</w:t>
            </w:r>
            <w:r w:rsidRPr="00234CE5">
              <w:rPr>
                <w:rFonts w:ascii="Aptos Narrow" w:eastAsia="Times New Roman" w:hAnsi="Aptos Narrow" w:cs="Times New Roman"/>
                <w:b/>
                <w:bCs/>
                <w:color w:val="000000"/>
                <w:kern w:val="0"/>
                <w:sz w:val="20"/>
                <w:szCs w:val="20"/>
                <w14:ligatures w14:val="none"/>
              </w:rPr>
              <w:t xml:space="preserve"> (</w:t>
            </w:r>
            <w:proofErr w:type="spellStart"/>
            <w:r w:rsidRPr="00234CE5">
              <w:rPr>
                <w:rFonts w:ascii="Aptos Narrow" w:eastAsia="Times New Roman" w:hAnsi="Aptos Narrow" w:cs="Times New Roman"/>
                <w:b/>
                <w:bCs/>
                <w:color w:val="000000"/>
                <w:kern w:val="0"/>
                <w:sz w:val="20"/>
                <w:szCs w:val="20"/>
                <w14:ligatures w14:val="none"/>
              </w:rPr>
              <w:t>lbs</w:t>
            </w:r>
            <w:proofErr w:type="spellEnd"/>
            <w:r w:rsidRPr="00234CE5">
              <w:rPr>
                <w:rFonts w:ascii="Aptos Narrow" w:eastAsia="Times New Roman" w:hAnsi="Aptos Narrow" w:cs="Times New Roman"/>
                <w:b/>
                <w:bCs/>
                <w:color w:val="000000"/>
                <w:kern w:val="0"/>
                <w:sz w:val="20"/>
                <w:szCs w:val="20"/>
                <w14:ligatures w14:val="none"/>
              </w:rPr>
              <w:t>/CY)</w:t>
            </w:r>
          </w:p>
        </w:tc>
        <w:tc>
          <w:tcPr>
            <w:tcW w:w="1080" w:type="dxa"/>
            <w:tcBorders>
              <w:top w:val="double" w:sz="6" w:space="0" w:color="auto"/>
              <w:left w:val="nil"/>
              <w:bottom w:val="nil"/>
              <w:right w:val="single" w:sz="4" w:space="0" w:color="auto"/>
            </w:tcBorders>
            <w:shd w:val="clear" w:color="000000" w:fill="D9D9D9"/>
            <w:vAlign w:val="center"/>
            <w:hideMark/>
          </w:tcPr>
          <w:p w14:paraId="67C3A164" w14:textId="77777777" w:rsidR="0082030E" w:rsidRPr="00234CE5" w:rsidRDefault="0082030E" w:rsidP="0082030E">
            <w:pPr>
              <w:spacing w:after="0" w:line="240" w:lineRule="auto"/>
              <w:jc w:val="center"/>
              <w:rPr>
                <w:rFonts w:ascii="Aptos Narrow" w:eastAsia="Times New Roman" w:hAnsi="Aptos Narrow" w:cs="Times New Roman"/>
                <w:b/>
                <w:bCs/>
                <w:color w:val="000000"/>
                <w:kern w:val="0"/>
                <w:sz w:val="20"/>
                <w:szCs w:val="20"/>
                <w14:ligatures w14:val="none"/>
              </w:rPr>
            </w:pPr>
            <w:r w:rsidRPr="00234CE5">
              <w:rPr>
                <w:rFonts w:ascii="Aptos Narrow" w:eastAsia="Times New Roman" w:hAnsi="Aptos Narrow" w:cs="Times New Roman"/>
                <w:b/>
                <w:bCs/>
                <w:color w:val="000000"/>
                <w:kern w:val="0"/>
                <w:sz w:val="20"/>
                <w:szCs w:val="20"/>
                <w14:ligatures w14:val="none"/>
              </w:rPr>
              <w:t xml:space="preserve">Au (Troy </w:t>
            </w:r>
            <w:proofErr w:type="spellStart"/>
            <w:r w:rsidRPr="00234CE5">
              <w:rPr>
                <w:rFonts w:ascii="Aptos Narrow" w:eastAsia="Times New Roman" w:hAnsi="Aptos Narrow" w:cs="Times New Roman"/>
                <w:b/>
                <w:bCs/>
                <w:color w:val="000000"/>
                <w:kern w:val="0"/>
                <w:sz w:val="20"/>
                <w:szCs w:val="20"/>
                <w14:ligatures w14:val="none"/>
              </w:rPr>
              <w:t>Ozs</w:t>
            </w:r>
            <w:proofErr w:type="spellEnd"/>
            <w:r w:rsidRPr="00234CE5">
              <w:rPr>
                <w:rFonts w:ascii="Aptos Narrow" w:eastAsia="Times New Roman" w:hAnsi="Aptos Narrow" w:cs="Times New Roman"/>
                <w:b/>
                <w:bCs/>
                <w:color w:val="000000"/>
                <w:kern w:val="0"/>
                <w:sz w:val="20"/>
                <w:szCs w:val="20"/>
                <w14:ligatures w14:val="none"/>
              </w:rPr>
              <w:t>/CY)</w:t>
            </w:r>
          </w:p>
        </w:tc>
        <w:tc>
          <w:tcPr>
            <w:tcW w:w="1260" w:type="dxa"/>
            <w:tcBorders>
              <w:top w:val="double" w:sz="6" w:space="0" w:color="auto"/>
              <w:left w:val="nil"/>
              <w:bottom w:val="nil"/>
              <w:right w:val="single" w:sz="4" w:space="0" w:color="auto"/>
            </w:tcBorders>
            <w:shd w:val="clear" w:color="000000" w:fill="D9D9D9"/>
            <w:vAlign w:val="center"/>
            <w:hideMark/>
          </w:tcPr>
          <w:p w14:paraId="57136D04" w14:textId="77777777" w:rsidR="0082030E" w:rsidRPr="00234CE5" w:rsidRDefault="0082030E" w:rsidP="0082030E">
            <w:pPr>
              <w:spacing w:after="0" w:line="240" w:lineRule="auto"/>
              <w:jc w:val="center"/>
              <w:rPr>
                <w:rFonts w:ascii="Aptos Narrow" w:eastAsia="Times New Roman" w:hAnsi="Aptos Narrow" w:cs="Times New Roman"/>
                <w:b/>
                <w:bCs/>
                <w:color w:val="000000"/>
                <w:kern w:val="0"/>
                <w:sz w:val="20"/>
                <w:szCs w:val="20"/>
                <w14:ligatures w14:val="none"/>
              </w:rPr>
            </w:pPr>
            <w:r w:rsidRPr="00234CE5">
              <w:rPr>
                <w:rFonts w:ascii="Aptos Narrow" w:eastAsia="Times New Roman" w:hAnsi="Aptos Narrow" w:cs="Times New Roman"/>
                <w:b/>
                <w:bCs/>
                <w:color w:val="000000"/>
                <w:kern w:val="0"/>
                <w:sz w:val="20"/>
                <w:szCs w:val="20"/>
                <w14:ligatures w14:val="none"/>
              </w:rPr>
              <w:t>Contained WO</w:t>
            </w:r>
            <w:r w:rsidRPr="00234CE5">
              <w:rPr>
                <w:rFonts w:ascii="Aptos Narrow" w:eastAsia="Times New Roman" w:hAnsi="Aptos Narrow" w:cs="Times New Roman"/>
                <w:b/>
                <w:bCs/>
                <w:color w:val="000000"/>
                <w:kern w:val="0"/>
                <w:sz w:val="20"/>
                <w:szCs w:val="20"/>
                <w:vertAlign w:val="subscript"/>
                <w14:ligatures w14:val="none"/>
              </w:rPr>
              <w:t>3</w:t>
            </w:r>
            <w:r w:rsidRPr="00234CE5">
              <w:rPr>
                <w:rFonts w:ascii="Aptos Narrow" w:eastAsia="Times New Roman" w:hAnsi="Aptos Narrow" w:cs="Times New Roman"/>
                <w:b/>
                <w:bCs/>
                <w:color w:val="000000"/>
                <w:kern w:val="0"/>
                <w:sz w:val="20"/>
                <w:szCs w:val="20"/>
                <w14:ligatures w14:val="none"/>
              </w:rPr>
              <w:t xml:space="preserve"> </w:t>
            </w:r>
            <w:proofErr w:type="spellStart"/>
            <w:r w:rsidRPr="00234CE5">
              <w:rPr>
                <w:rFonts w:ascii="Aptos Narrow" w:eastAsia="Times New Roman" w:hAnsi="Aptos Narrow" w:cs="Times New Roman"/>
                <w:b/>
                <w:bCs/>
                <w:color w:val="000000"/>
                <w:kern w:val="0"/>
                <w:sz w:val="20"/>
                <w:szCs w:val="20"/>
                <w14:ligatures w14:val="none"/>
              </w:rPr>
              <w:t>lbs</w:t>
            </w:r>
            <w:proofErr w:type="spellEnd"/>
          </w:p>
        </w:tc>
        <w:tc>
          <w:tcPr>
            <w:tcW w:w="1350" w:type="dxa"/>
            <w:tcBorders>
              <w:top w:val="double" w:sz="6" w:space="0" w:color="auto"/>
              <w:left w:val="nil"/>
              <w:bottom w:val="nil"/>
              <w:right w:val="double" w:sz="6" w:space="0" w:color="auto"/>
            </w:tcBorders>
            <w:shd w:val="clear" w:color="000000" w:fill="D9D9D9"/>
            <w:vAlign w:val="center"/>
            <w:hideMark/>
          </w:tcPr>
          <w:p w14:paraId="1F4A1DAE" w14:textId="77777777" w:rsidR="0082030E" w:rsidRPr="00234CE5" w:rsidRDefault="0082030E" w:rsidP="0082030E">
            <w:pPr>
              <w:spacing w:after="0" w:line="240" w:lineRule="auto"/>
              <w:jc w:val="center"/>
              <w:rPr>
                <w:rFonts w:ascii="Aptos Narrow" w:eastAsia="Times New Roman" w:hAnsi="Aptos Narrow" w:cs="Times New Roman"/>
                <w:b/>
                <w:bCs/>
                <w:color w:val="000000"/>
                <w:kern w:val="0"/>
                <w:sz w:val="20"/>
                <w:szCs w:val="20"/>
                <w14:ligatures w14:val="none"/>
              </w:rPr>
            </w:pPr>
            <w:r w:rsidRPr="00234CE5">
              <w:rPr>
                <w:rFonts w:ascii="Aptos Narrow" w:eastAsia="Times New Roman" w:hAnsi="Aptos Narrow" w:cs="Times New Roman"/>
                <w:b/>
                <w:bCs/>
                <w:color w:val="000000"/>
                <w:kern w:val="0"/>
                <w:sz w:val="20"/>
                <w:szCs w:val="20"/>
                <w14:ligatures w14:val="none"/>
              </w:rPr>
              <w:t xml:space="preserve">Contained Au Troy </w:t>
            </w:r>
            <w:proofErr w:type="spellStart"/>
            <w:r w:rsidRPr="00234CE5">
              <w:rPr>
                <w:rFonts w:ascii="Aptos Narrow" w:eastAsia="Times New Roman" w:hAnsi="Aptos Narrow" w:cs="Times New Roman"/>
                <w:b/>
                <w:bCs/>
                <w:color w:val="000000"/>
                <w:kern w:val="0"/>
                <w:sz w:val="20"/>
                <w:szCs w:val="20"/>
                <w14:ligatures w14:val="none"/>
              </w:rPr>
              <w:t>Ozs</w:t>
            </w:r>
            <w:proofErr w:type="spellEnd"/>
          </w:p>
        </w:tc>
      </w:tr>
      <w:tr w:rsidR="0082030E" w:rsidRPr="0082030E" w14:paraId="36CDDCF2" w14:textId="77777777" w:rsidTr="00234CE5">
        <w:trPr>
          <w:trHeight w:val="290"/>
        </w:trPr>
        <w:tc>
          <w:tcPr>
            <w:tcW w:w="1243" w:type="dxa"/>
            <w:tcBorders>
              <w:top w:val="single" w:sz="4" w:space="0" w:color="auto"/>
              <w:left w:val="double" w:sz="6" w:space="0" w:color="auto"/>
              <w:bottom w:val="nil"/>
              <w:right w:val="single" w:sz="4" w:space="0" w:color="auto"/>
            </w:tcBorders>
            <w:noWrap/>
            <w:vAlign w:val="center"/>
            <w:hideMark/>
          </w:tcPr>
          <w:p w14:paraId="24D08965"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Black Hawk</w:t>
            </w:r>
          </w:p>
        </w:tc>
        <w:tc>
          <w:tcPr>
            <w:tcW w:w="1434" w:type="dxa"/>
            <w:tcBorders>
              <w:top w:val="single" w:sz="4" w:space="0" w:color="auto"/>
              <w:left w:val="nil"/>
              <w:bottom w:val="nil"/>
              <w:right w:val="single" w:sz="4" w:space="0" w:color="auto"/>
            </w:tcBorders>
            <w:noWrap/>
            <w:vAlign w:val="center"/>
            <w:hideMark/>
          </w:tcPr>
          <w:p w14:paraId="6F33C02E"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Inferred</w:t>
            </w:r>
          </w:p>
        </w:tc>
        <w:tc>
          <w:tcPr>
            <w:tcW w:w="1260" w:type="dxa"/>
            <w:tcBorders>
              <w:top w:val="single" w:sz="4" w:space="0" w:color="auto"/>
              <w:left w:val="nil"/>
              <w:bottom w:val="nil"/>
              <w:right w:val="single" w:sz="4" w:space="0" w:color="auto"/>
            </w:tcBorders>
            <w:noWrap/>
            <w:vAlign w:val="center"/>
            <w:hideMark/>
          </w:tcPr>
          <w:p w14:paraId="2F609268"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0.231</w:t>
            </w:r>
          </w:p>
        </w:tc>
        <w:tc>
          <w:tcPr>
            <w:tcW w:w="1170" w:type="dxa"/>
            <w:tcBorders>
              <w:top w:val="single" w:sz="4" w:space="0" w:color="auto"/>
              <w:left w:val="nil"/>
              <w:bottom w:val="nil"/>
              <w:right w:val="single" w:sz="4" w:space="0" w:color="auto"/>
            </w:tcBorders>
            <w:noWrap/>
            <w:vAlign w:val="center"/>
            <w:hideMark/>
          </w:tcPr>
          <w:p w14:paraId="26DD76A0"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10,530,000</w:t>
            </w:r>
          </w:p>
        </w:tc>
        <w:tc>
          <w:tcPr>
            <w:tcW w:w="1170" w:type="dxa"/>
            <w:tcBorders>
              <w:top w:val="single" w:sz="4" w:space="0" w:color="auto"/>
              <w:left w:val="nil"/>
              <w:bottom w:val="nil"/>
              <w:right w:val="single" w:sz="4" w:space="0" w:color="auto"/>
            </w:tcBorders>
            <w:noWrap/>
            <w:vAlign w:val="center"/>
            <w:hideMark/>
          </w:tcPr>
          <w:p w14:paraId="191C9F9C"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1.563</w:t>
            </w:r>
          </w:p>
        </w:tc>
        <w:tc>
          <w:tcPr>
            <w:tcW w:w="1080" w:type="dxa"/>
            <w:tcBorders>
              <w:top w:val="single" w:sz="4" w:space="0" w:color="auto"/>
              <w:left w:val="nil"/>
              <w:bottom w:val="nil"/>
              <w:right w:val="single" w:sz="4" w:space="0" w:color="auto"/>
            </w:tcBorders>
            <w:noWrap/>
            <w:vAlign w:val="center"/>
            <w:hideMark/>
          </w:tcPr>
          <w:p w14:paraId="7A23E215"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0.008</w:t>
            </w:r>
          </w:p>
        </w:tc>
        <w:tc>
          <w:tcPr>
            <w:tcW w:w="1260" w:type="dxa"/>
            <w:tcBorders>
              <w:top w:val="single" w:sz="4" w:space="0" w:color="auto"/>
              <w:left w:val="nil"/>
              <w:bottom w:val="nil"/>
              <w:right w:val="single" w:sz="4" w:space="0" w:color="auto"/>
            </w:tcBorders>
            <w:noWrap/>
            <w:vAlign w:val="center"/>
            <w:hideMark/>
          </w:tcPr>
          <w:p w14:paraId="4DA54B98"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16,454,000</w:t>
            </w:r>
          </w:p>
        </w:tc>
        <w:tc>
          <w:tcPr>
            <w:tcW w:w="1350" w:type="dxa"/>
            <w:tcBorders>
              <w:top w:val="single" w:sz="4" w:space="0" w:color="auto"/>
              <w:left w:val="nil"/>
              <w:bottom w:val="nil"/>
              <w:right w:val="double" w:sz="6" w:space="0" w:color="auto"/>
            </w:tcBorders>
            <w:noWrap/>
            <w:vAlign w:val="center"/>
            <w:hideMark/>
          </w:tcPr>
          <w:p w14:paraId="5951EBBF"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88,000</w:t>
            </w:r>
          </w:p>
        </w:tc>
      </w:tr>
      <w:tr w:rsidR="0082030E" w:rsidRPr="0082030E" w14:paraId="2B1FC539" w14:textId="77777777" w:rsidTr="00234CE5">
        <w:trPr>
          <w:trHeight w:val="290"/>
        </w:trPr>
        <w:tc>
          <w:tcPr>
            <w:tcW w:w="1243" w:type="dxa"/>
            <w:tcBorders>
              <w:top w:val="nil"/>
              <w:left w:val="double" w:sz="6" w:space="0" w:color="auto"/>
              <w:bottom w:val="nil"/>
              <w:right w:val="single" w:sz="4" w:space="0" w:color="auto"/>
            </w:tcBorders>
            <w:noWrap/>
            <w:vAlign w:val="center"/>
            <w:hideMark/>
          </w:tcPr>
          <w:p w14:paraId="12A21299"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Spud Patch</w:t>
            </w:r>
          </w:p>
        </w:tc>
        <w:tc>
          <w:tcPr>
            <w:tcW w:w="1434" w:type="dxa"/>
            <w:tcBorders>
              <w:top w:val="nil"/>
              <w:left w:val="nil"/>
              <w:bottom w:val="nil"/>
              <w:right w:val="single" w:sz="4" w:space="0" w:color="auto"/>
            </w:tcBorders>
            <w:noWrap/>
            <w:vAlign w:val="center"/>
            <w:hideMark/>
          </w:tcPr>
          <w:p w14:paraId="6EB03386"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Inferred</w:t>
            </w:r>
          </w:p>
        </w:tc>
        <w:tc>
          <w:tcPr>
            <w:tcW w:w="1260" w:type="dxa"/>
            <w:tcBorders>
              <w:top w:val="nil"/>
              <w:left w:val="nil"/>
              <w:bottom w:val="nil"/>
              <w:right w:val="single" w:sz="4" w:space="0" w:color="auto"/>
            </w:tcBorders>
            <w:noWrap/>
            <w:vAlign w:val="center"/>
            <w:hideMark/>
          </w:tcPr>
          <w:p w14:paraId="78B58181"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0.231</w:t>
            </w:r>
          </w:p>
        </w:tc>
        <w:tc>
          <w:tcPr>
            <w:tcW w:w="1170" w:type="dxa"/>
            <w:tcBorders>
              <w:top w:val="nil"/>
              <w:left w:val="nil"/>
              <w:bottom w:val="nil"/>
              <w:right w:val="single" w:sz="4" w:space="0" w:color="auto"/>
            </w:tcBorders>
            <w:noWrap/>
            <w:vAlign w:val="center"/>
            <w:hideMark/>
          </w:tcPr>
          <w:p w14:paraId="66362C5E"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8,275,000</w:t>
            </w:r>
          </w:p>
        </w:tc>
        <w:tc>
          <w:tcPr>
            <w:tcW w:w="1170" w:type="dxa"/>
            <w:tcBorders>
              <w:top w:val="nil"/>
              <w:left w:val="nil"/>
              <w:bottom w:val="nil"/>
              <w:right w:val="single" w:sz="4" w:space="0" w:color="auto"/>
            </w:tcBorders>
            <w:noWrap/>
            <w:vAlign w:val="center"/>
            <w:hideMark/>
          </w:tcPr>
          <w:p w14:paraId="475111C0"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2.098</w:t>
            </w:r>
          </w:p>
        </w:tc>
        <w:tc>
          <w:tcPr>
            <w:tcW w:w="1080" w:type="dxa"/>
            <w:tcBorders>
              <w:top w:val="nil"/>
              <w:left w:val="nil"/>
              <w:bottom w:val="nil"/>
              <w:right w:val="single" w:sz="4" w:space="0" w:color="auto"/>
            </w:tcBorders>
            <w:noWrap/>
            <w:vAlign w:val="center"/>
            <w:hideMark/>
          </w:tcPr>
          <w:p w14:paraId="0C22D968"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0.002</w:t>
            </w:r>
          </w:p>
        </w:tc>
        <w:tc>
          <w:tcPr>
            <w:tcW w:w="1260" w:type="dxa"/>
            <w:tcBorders>
              <w:top w:val="nil"/>
              <w:left w:val="nil"/>
              <w:bottom w:val="nil"/>
              <w:right w:val="single" w:sz="4" w:space="0" w:color="auto"/>
            </w:tcBorders>
            <w:noWrap/>
            <w:vAlign w:val="center"/>
            <w:hideMark/>
          </w:tcPr>
          <w:p w14:paraId="2FFB186A"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17,365,000</w:t>
            </w:r>
          </w:p>
        </w:tc>
        <w:tc>
          <w:tcPr>
            <w:tcW w:w="1350" w:type="dxa"/>
            <w:tcBorders>
              <w:top w:val="nil"/>
              <w:left w:val="nil"/>
              <w:bottom w:val="nil"/>
              <w:right w:val="double" w:sz="6" w:space="0" w:color="auto"/>
            </w:tcBorders>
            <w:noWrap/>
            <w:vAlign w:val="center"/>
            <w:hideMark/>
          </w:tcPr>
          <w:p w14:paraId="4EE465BC" w14:textId="77777777" w:rsidR="0082030E" w:rsidRPr="00234CE5" w:rsidRDefault="0082030E" w:rsidP="0082030E">
            <w:pPr>
              <w:spacing w:after="0" w:line="240" w:lineRule="auto"/>
              <w:jc w:val="center"/>
              <w:rPr>
                <w:rFonts w:ascii="Aptos Narrow" w:eastAsia="Times New Roman" w:hAnsi="Aptos Narrow" w:cs="Times New Roman"/>
                <w:color w:val="000000"/>
                <w:kern w:val="0"/>
                <w:sz w:val="20"/>
                <w:szCs w:val="20"/>
                <w14:ligatures w14:val="none"/>
              </w:rPr>
            </w:pPr>
            <w:r w:rsidRPr="00234CE5">
              <w:rPr>
                <w:rFonts w:ascii="Aptos Narrow" w:eastAsia="Times New Roman" w:hAnsi="Aptos Narrow" w:cs="Times New Roman"/>
                <w:color w:val="000000"/>
                <w:kern w:val="0"/>
                <w:sz w:val="20"/>
                <w:szCs w:val="20"/>
                <w14:ligatures w14:val="none"/>
              </w:rPr>
              <w:t>16,000</w:t>
            </w:r>
          </w:p>
        </w:tc>
      </w:tr>
      <w:tr w:rsidR="0082030E" w:rsidRPr="0082030E" w14:paraId="6597724C" w14:textId="77777777" w:rsidTr="00234CE5">
        <w:trPr>
          <w:trHeight w:val="300"/>
        </w:trPr>
        <w:tc>
          <w:tcPr>
            <w:tcW w:w="1243" w:type="dxa"/>
            <w:tcBorders>
              <w:top w:val="single" w:sz="4" w:space="0" w:color="auto"/>
              <w:left w:val="double" w:sz="6" w:space="0" w:color="auto"/>
              <w:bottom w:val="nil"/>
              <w:right w:val="single" w:sz="4" w:space="0" w:color="auto"/>
            </w:tcBorders>
            <w:shd w:val="clear" w:color="000000" w:fill="FFFF00"/>
            <w:noWrap/>
            <w:vAlign w:val="center"/>
            <w:hideMark/>
          </w:tcPr>
          <w:p w14:paraId="7CDDF312" w14:textId="77777777" w:rsidR="0082030E" w:rsidRPr="00234CE5" w:rsidRDefault="0082030E" w:rsidP="0082030E">
            <w:pPr>
              <w:spacing w:after="0" w:line="240" w:lineRule="auto"/>
              <w:jc w:val="center"/>
              <w:rPr>
                <w:rFonts w:ascii="Aptos Narrow" w:eastAsia="Times New Roman" w:hAnsi="Aptos Narrow" w:cs="Times New Roman"/>
                <w:b/>
                <w:bCs/>
                <w:i/>
                <w:iCs/>
                <w:color w:val="000000"/>
                <w:kern w:val="0"/>
                <w:sz w:val="20"/>
                <w:szCs w:val="20"/>
                <w14:ligatures w14:val="none"/>
              </w:rPr>
            </w:pPr>
            <w:r w:rsidRPr="00234CE5">
              <w:rPr>
                <w:rFonts w:ascii="Aptos Narrow" w:eastAsia="Times New Roman" w:hAnsi="Aptos Narrow" w:cs="Times New Roman"/>
                <w:b/>
                <w:bCs/>
                <w:i/>
                <w:iCs/>
                <w:color w:val="000000"/>
                <w:kern w:val="0"/>
                <w:sz w:val="20"/>
                <w:szCs w:val="20"/>
                <w14:ligatures w14:val="none"/>
              </w:rPr>
              <w:t>All</w:t>
            </w:r>
          </w:p>
        </w:tc>
        <w:tc>
          <w:tcPr>
            <w:tcW w:w="1434" w:type="dxa"/>
            <w:tcBorders>
              <w:top w:val="single" w:sz="4" w:space="0" w:color="auto"/>
              <w:left w:val="nil"/>
              <w:bottom w:val="nil"/>
              <w:right w:val="single" w:sz="4" w:space="0" w:color="auto"/>
            </w:tcBorders>
            <w:shd w:val="clear" w:color="000000" w:fill="FFFF00"/>
            <w:noWrap/>
            <w:vAlign w:val="center"/>
            <w:hideMark/>
          </w:tcPr>
          <w:p w14:paraId="69C2F1CC" w14:textId="77777777" w:rsidR="0082030E" w:rsidRPr="00234CE5" w:rsidRDefault="0082030E" w:rsidP="0082030E">
            <w:pPr>
              <w:spacing w:after="0" w:line="240" w:lineRule="auto"/>
              <w:jc w:val="center"/>
              <w:rPr>
                <w:rFonts w:ascii="Aptos Narrow" w:eastAsia="Times New Roman" w:hAnsi="Aptos Narrow" w:cs="Times New Roman"/>
                <w:b/>
                <w:bCs/>
                <w:i/>
                <w:iCs/>
                <w:color w:val="000000"/>
                <w:kern w:val="0"/>
                <w:sz w:val="20"/>
                <w:szCs w:val="20"/>
                <w14:ligatures w14:val="none"/>
              </w:rPr>
            </w:pPr>
            <w:r w:rsidRPr="00234CE5">
              <w:rPr>
                <w:rFonts w:ascii="Aptos Narrow" w:eastAsia="Times New Roman" w:hAnsi="Aptos Narrow" w:cs="Times New Roman"/>
                <w:b/>
                <w:bCs/>
                <w:i/>
                <w:iCs/>
                <w:color w:val="000000"/>
                <w:kern w:val="0"/>
                <w:sz w:val="20"/>
                <w:szCs w:val="20"/>
                <w14:ligatures w14:val="none"/>
              </w:rPr>
              <w:t>Inferred</w:t>
            </w:r>
          </w:p>
        </w:tc>
        <w:tc>
          <w:tcPr>
            <w:tcW w:w="1260" w:type="dxa"/>
            <w:tcBorders>
              <w:top w:val="single" w:sz="4" w:space="0" w:color="auto"/>
              <w:left w:val="nil"/>
              <w:bottom w:val="nil"/>
              <w:right w:val="single" w:sz="4" w:space="0" w:color="auto"/>
            </w:tcBorders>
            <w:shd w:val="clear" w:color="000000" w:fill="FFFF00"/>
            <w:noWrap/>
            <w:vAlign w:val="center"/>
            <w:hideMark/>
          </w:tcPr>
          <w:p w14:paraId="76C30D7A" w14:textId="77777777" w:rsidR="0082030E" w:rsidRPr="00234CE5" w:rsidRDefault="0082030E" w:rsidP="0082030E">
            <w:pPr>
              <w:spacing w:after="0" w:line="240" w:lineRule="auto"/>
              <w:jc w:val="center"/>
              <w:rPr>
                <w:rFonts w:ascii="Aptos Narrow" w:eastAsia="Times New Roman" w:hAnsi="Aptos Narrow" w:cs="Times New Roman"/>
                <w:b/>
                <w:bCs/>
                <w:i/>
                <w:iCs/>
                <w:color w:val="000000"/>
                <w:kern w:val="0"/>
                <w:sz w:val="20"/>
                <w:szCs w:val="20"/>
                <w14:ligatures w14:val="none"/>
              </w:rPr>
            </w:pPr>
            <w:r w:rsidRPr="00234CE5">
              <w:rPr>
                <w:rFonts w:ascii="Aptos Narrow" w:eastAsia="Times New Roman" w:hAnsi="Aptos Narrow" w:cs="Times New Roman"/>
                <w:b/>
                <w:bCs/>
                <w:i/>
                <w:iCs/>
                <w:color w:val="000000"/>
                <w:kern w:val="0"/>
                <w:sz w:val="20"/>
                <w:szCs w:val="20"/>
                <w14:ligatures w14:val="none"/>
              </w:rPr>
              <w:t>0.231</w:t>
            </w:r>
          </w:p>
        </w:tc>
        <w:tc>
          <w:tcPr>
            <w:tcW w:w="1170" w:type="dxa"/>
            <w:tcBorders>
              <w:top w:val="single" w:sz="4" w:space="0" w:color="auto"/>
              <w:left w:val="nil"/>
              <w:bottom w:val="single" w:sz="4" w:space="0" w:color="auto"/>
              <w:right w:val="single" w:sz="4" w:space="0" w:color="auto"/>
            </w:tcBorders>
            <w:shd w:val="clear" w:color="000000" w:fill="FFFF00"/>
            <w:noWrap/>
            <w:vAlign w:val="center"/>
            <w:hideMark/>
          </w:tcPr>
          <w:p w14:paraId="33E8F084" w14:textId="77777777" w:rsidR="0082030E" w:rsidRPr="00234CE5" w:rsidRDefault="0082030E" w:rsidP="0082030E">
            <w:pPr>
              <w:spacing w:after="0" w:line="240" w:lineRule="auto"/>
              <w:jc w:val="center"/>
              <w:rPr>
                <w:rFonts w:ascii="Aptos Narrow" w:eastAsia="Times New Roman" w:hAnsi="Aptos Narrow" w:cs="Times New Roman"/>
                <w:b/>
                <w:bCs/>
                <w:i/>
                <w:iCs/>
                <w:color w:val="000000"/>
                <w:kern w:val="0"/>
                <w:sz w:val="20"/>
                <w:szCs w:val="20"/>
                <w14:ligatures w14:val="none"/>
              </w:rPr>
            </w:pPr>
            <w:r w:rsidRPr="00234CE5">
              <w:rPr>
                <w:rFonts w:ascii="Aptos Narrow" w:eastAsia="Times New Roman" w:hAnsi="Aptos Narrow" w:cs="Times New Roman"/>
                <w:b/>
                <w:bCs/>
                <w:i/>
                <w:iCs/>
                <w:color w:val="000000"/>
                <w:kern w:val="0"/>
                <w:sz w:val="20"/>
                <w:szCs w:val="20"/>
                <w14:ligatures w14:val="none"/>
              </w:rPr>
              <w:t>18,805,000</w:t>
            </w:r>
          </w:p>
        </w:tc>
        <w:tc>
          <w:tcPr>
            <w:tcW w:w="1170" w:type="dxa"/>
            <w:tcBorders>
              <w:top w:val="single" w:sz="4" w:space="0" w:color="auto"/>
              <w:left w:val="nil"/>
              <w:bottom w:val="single" w:sz="4" w:space="0" w:color="auto"/>
              <w:right w:val="single" w:sz="4" w:space="0" w:color="auto"/>
            </w:tcBorders>
            <w:shd w:val="clear" w:color="000000" w:fill="FFFF00"/>
            <w:noWrap/>
            <w:vAlign w:val="center"/>
            <w:hideMark/>
          </w:tcPr>
          <w:p w14:paraId="0A5FC0B6" w14:textId="77777777" w:rsidR="0082030E" w:rsidRPr="00234CE5" w:rsidRDefault="0082030E" w:rsidP="0082030E">
            <w:pPr>
              <w:spacing w:after="0" w:line="240" w:lineRule="auto"/>
              <w:jc w:val="center"/>
              <w:rPr>
                <w:rFonts w:ascii="Aptos Narrow" w:eastAsia="Times New Roman" w:hAnsi="Aptos Narrow" w:cs="Times New Roman"/>
                <w:b/>
                <w:bCs/>
                <w:i/>
                <w:iCs/>
                <w:color w:val="000000"/>
                <w:kern w:val="0"/>
                <w:sz w:val="20"/>
                <w:szCs w:val="20"/>
                <w14:ligatures w14:val="none"/>
              </w:rPr>
            </w:pPr>
            <w:r w:rsidRPr="00234CE5">
              <w:rPr>
                <w:rFonts w:ascii="Aptos Narrow" w:eastAsia="Times New Roman" w:hAnsi="Aptos Narrow" w:cs="Times New Roman"/>
                <w:b/>
                <w:bCs/>
                <w:i/>
                <w:iCs/>
                <w:color w:val="000000"/>
                <w:kern w:val="0"/>
                <w:sz w:val="20"/>
                <w:szCs w:val="20"/>
                <w14:ligatures w14:val="none"/>
              </w:rPr>
              <w:t>1.798</w:t>
            </w:r>
          </w:p>
        </w:tc>
        <w:tc>
          <w:tcPr>
            <w:tcW w:w="1080" w:type="dxa"/>
            <w:tcBorders>
              <w:top w:val="single" w:sz="4" w:space="0" w:color="auto"/>
              <w:left w:val="nil"/>
              <w:bottom w:val="single" w:sz="4" w:space="0" w:color="auto"/>
              <w:right w:val="single" w:sz="4" w:space="0" w:color="auto"/>
            </w:tcBorders>
            <w:shd w:val="clear" w:color="000000" w:fill="FFFF00"/>
            <w:noWrap/>
            <w:vAlign w:val="center"/>
            <w:hideMark/>
          </w:tcPr>
          <w:p w14:paraId="1670C7E8" w14:textId="77777777" w:rsidR="0082030E" w:rsidRPr="00234CE5" w:rsidRDefault="0082030E" w:rsidP="0082030E">
            <w:pPr>
              <w:spacing w:after="0" w:line="240" w:lineRule="auto"/>
              <w:jc w:val="center"/>
              <w:rPr>
                <w:rFonts w:ascii="Aptos Narrow" w:eastAsia="Times New Roman" w:hAnsi="Aptos Narrow" w:cs="Times New Roman"/>
                <w:b/>
                <w:bCs/>
                <w:i/>
                <w:iCs/>
                <w:color w:val="000000"/>
                <w:kern w:val="0"/>
                <w:sz w:val="20"/>
                <w:szCs w:val="20"/>
                <w14:ligatures w14:val="none"/>
              </w:rPr>
            </w:pPr>
            <w:r w:rsidRPr="00234CE5">
              <w:rPr>
                <w:rFonts w:ascii="Aptos Narrow" w:eastAsia="Times New Roman" w:hAnsi="Aptos Narrow" w:cs="Times New Roman"/>
                <w:b/>
                <w:bCs/>
                <w:i/>
                <w:iCs/>
                <w:color w:val="000000"/>
                <w:kern w:val="0"/>
                <w:sz w:val="20"/>
                <w:szCs w:val="20"/>
                <w14:ligatures w14:val="none"/>
              </w:rPr>
              <w:t>0.006</w:t>
            </w:r>
          </w:p>
        </w:tc>
        <w:tc>
          <w:tcPr>
            <w:tcW w:w="1260" w:type="dxa"/>
            <w:tcBorders>
              <w:top w:val="single" w:sz="4" w:space="0" w:color="auto"/>
              <w:left w:val="nil"/>
              <w:bottom w:val="single" w:sz="4" w:space="0" w:color="auto"/>
              <w:right w:val="single" w:sz="4" w:space="0" w:color="auto"/>
            </w:tcBorders>
            <w:shd w:val="clear" w:color="000000" w:fill="FFFF00"/>
            <w:noWrap/>
            <w:vAlign w:val="center"/>
            <w:hideMark/>
          </w:tcPr>
          <w:p w14:paraId="7FB1D530" w14:textId="77777777" w:rsidR="0082030E" w:rsidRPr="00234CE5" w:rsidRDefault="0082030E" w:rsidP="0082030E">
            <w:pPr>
              <w:spacing w:after="0" w:line="240" w:lineRule="auto"/>
              <w:jc w:val="center"/>
              <w:rPr>
                <w:rFonts w:ascii="Aptos Narrow" w:eastAsia="Times New Roman" w:hAnsi="Aptos Narrow" w:cs="Times New Roman"/>
                <w:b/>
                <w:bCs/>
                <w:i/>
                <w:iCs/>
                <w:color w:val="000000"/>
                <w:kern w:val="0"/>
                <w:sz w:val="20"/>
                <w:szCs w:val="20"/>
                <w14:ligatures w14:val="none"/>
              </w:rPr>
            </w:pPr>
            <w:r w:rsidRPr="00234CE5">
              <w:rPr>
                <w:rFonts w:ascii="Aptos Narrow" w:eastAsia="Times New Roman" w:hAnsi="Aptos Narrow" w:cs="Times New Roman"/>
                <w:b/>
                <w:bCs/>
                <w:i/>
                <w:iCs/>
                <w:color w:val="000000"/>
                <w:kern w:val="0"/>
                <w:sz w:val="20"/>
                <w:szCs w:val="20"/>
                <w14:ligatures w14:val="none"/>
              </w:rPr>
              <w:t>33,819,000</w:t>
            </w:r>
          </w:p>
        </w:tc>
        <w:tc>
          <w:tcPr>
            <w:tcW w:w="1350" w:type="dxa"/>
            <w:tcBorders>
              <w:top w:val="single" w:sz="4" w:space="0" w:color="auto"/>
              <w:left w:val="nil"/>
              <w:bottom w:val="nil"/>
              <w:right w:val="double" w:sz="6" w:space="0" w:color="auto"/>
            </w:tcBorders>
            <w:shd w:val="clear" w:color="000000" w:fill="FFFF00"/>
            <w:noWrap/>
            <w:vAlign w:val="center"/>
            <w:hideMark/>
          </w:tcPr>
          <w:p w14:paraId="644C7E55" w14:textId="77777777" w:rsidR="0082030E" w:rsidRPr="00234CE5" w:rsidRDefault="0082030E" w:rsidP="0082030E">
            <w:pPr>
              <w:spacing w:after="0" w:line="240" w:lineRule="auto"/>
              <w:jc w:val="center"/>
              <w:rPr>
                <w:rFonts w:ascii="Aptos Narrow" w:eastAsia="Times New Roman" w:hAnsi="Aptos Narrow" w:cs="Times New Roman"/>
                <w:b/>
                <w:bCs/>
                <w:i/>
                <w:iCs/>
                <w:color w:val="000000"/>
                <w:kern w:val="0"/>
                <w:sz w:val="20"/>
                <w:szCs w:val="20"/>
                <w14:ligatures w14:val="none"/>
              </w:rPr>
            </w:pPr>
            <w:r w:rsidRPr="00234CE5">
              <w:rPr>
                <w:rFonts w:ascii="Aptos Narrow" w:eastAsia="Times New Roman" w:hAnsi="Aptos Narrow" w:cs="Times New Roman"/>
                <w:b/>
                <w:bCs/>
                <w:i/>
                <w:iCs/>
                <w:color w:val="000000"/>
                <w:kern w:val="0"/>
                <w:sz w:val="20"/>
                <w:szCs w:val="20"/>
                <w14:ligatures w14:val="none"/>
              </w:rPr>
              <w:t>104,000</w:t>
            </w:r>
          </w:p>
        </w:tc>
      </w:tr>
      <w:tr w:rsidR="0082030E" w:rsidRPr="0082030E" w14:paraId="2D9F51DB" w14:textId="77777777" w:rsidTr="00234CE5">
        <w:trPr>
          <w:trHeight w:val="300"/>
        </w:trPr>
        <w:tc>
          <w:tcPr>
            <w:tcW w:w="9967" w:type="dxa"/>
            <w:gridSpan w:val="8"/>
            <w:tcBorders>
              <w:top w:val="double" w:sz="6" w:space="0" w:color="auto"/>
              <w:left w:val="nil"/>
              <w:bottom w:val="nil"/>
              <w:right w:val="nil"/>
            </w:tcBorders>
            <w:vAlign w:val="center"/>
            <w:hideMark/>
          </w:tcPr>
          <w:p w14:paraId="7E08AB44" w14:textId="4708CD48" w:rsidR="0082030E" w:rsidRPr="0082030E" w:rsidRDefault="0082030E" w:rsidP="0082030E">
            <w:pPr>
              <w:pStyle w:val="ListParagraph"/>
              <w:numPr>
                <w:ilvl w:val="0"/>
                <w:numId w:val="3"/>
              </w:numPr>
              <w:spacing w:after="0" w:line="240" w:lineRule="auto"/>
              <w:rPr>
                <w:rFonts w:ascii="Aptos Narrow" w:eastAsia="Times New Roman" w:hAnsi="Aptos Narrow" w:cs="Times New Roman"/>
                <w:color w:val="000000"/>
                <w:kern w:val="0"/>
                <w:sz w:val="18"/>
                <w:szCs w:val="18"/>
                <w14:ligatures w14:val="none"/>
              </w:rPr>
            </w:pPr>
            <w:r w:rsidRPr="0082030E">
              <w:rPr>
                <w:rFonts w:ascii="Aptos Narrow" w:eastAsia="Times New Roman" w:hAnsi="Aptos Narrow" w:cs="Times New Roman"/>
                <w:color w:val="000000"/>
                <w:kern w:val="0"/>
                <w:sz w:val="18"/>
                <w:szCs w:val="18"/>
                <w14:ligatures w14:val="none"/>
              </w:rPr>
              <w:t xml:space="preserve">The effective date for this mineral resource estimate is August 7, </w:t>
            </w:r>
            <w:r w:rsidR="00F06785" w:rsidRPr="0082030E">
              <w:rPr>
                <w:rFonts w:ascii="Aptos Narrow" w:eastAsia="Times New Roman" w:hAnsi="Aptos Narrow" w:cs="Times New Roman"/>
                <w:color w:val="000000"/>
                <w:kern w:val="0"/>
                <w:sz w:val="18"/>
                <w:szCs w:val="18"/>
                <w14:ligatures w14:val="none"/>
              </w:rPr>
              <w:t>2025,</w:t>
            </w:r>
            <w:r w:rsidRPr="0082030E">
              <w:rPr>
                <w:rFonts w:ascii="Aptos Narrow" w:eastAsia="Times New Roman" w:hAnsi="Aptos Narrow" w:cs="Times New Roman"/>
                <w:color w:val="000000"/>
                <w:kern w:val="0"/>
                <w:sz w:val="18"/>
                <w:szCs w:val="18"/>
                <w14:ligatures w14:val="none"/>
              </w:rPr>
              <w:t xml:space="preserve"> and is reported on a 100% ownership basis.  </w:t>
            </w:r>
          </w:p>
        </w:tc>
      </w:tr>
      <w:tr w:rsidR="0082030E" w:rsidRPr="0082030E" w14:paraId="1F2A330F" w14:textId="77777777" w:rsidTr="00234CE5">
        <w:trPr>
          <w:trHeight w:val="570"/>
        </w:trPr>
        <w:tc>
          <w:tcPr>
            <w:tcW w:w="9967" w:type="dxa"/>
            <w:gridSpan w:val="8"/>
            <w:tcBorders>
              <w:top w:val="nil"/>
              <w:left w:val="nil"/>
              <w:bottom w:val="nil"/>
              <w:right w:val="nil"/>
            </w:tcBorders>
            <w:vAlign w:val="center"/>
            <w:hideMark/>
          </w:tcPr>
          <w:p w14:paraId="541405AA" w14:textId="7974F981" w:rsidR="0082030E" w:rsidRPr="00F06785" w:rsidRDefault="0082030E" w:rsidP="00F06785">
            <w:pPr>
              <w:pStyle w:val="ListParagraph"/>
              <w:numPr>
                <w:ilvl w:val="0"/>
                <w:numId w:val="3"/>
              </w:numPr>
              <w:spacing w:after="0" w:line="240" w:lineRule="auto"/>
              <w:rPr>
                <w:rFonts w:ascii="Aptos Narrow" w:eastAsia="Times New Roman" w:hAnsi="Aptos Narrow" w:cs="Times New Roman"/>
                <w:color w:val="000000"/>
                <w:kern w:val="0"/>
                <w:sz w:val="18"/>
                <w:szCs w:val="18"/>
                <w14:ligatures w14:val="none"/>
              </w:rPr>
            </w:pPr>
            <w:r w:rsidRPr="00F06785">
              <w:rPr>
                <w:rFonts w:ascii="Aptos Narrow" w:eastAsia="Times New Roman" w:hAnsi="Aptos Narrow" w:cs="Times New Roman"/>
                <w:color w:val="000000"/>
                <w:kern w:val="0"/>
                <w:sz w:val="18"/>
                <w:szCs w:val="18"/>
                <w14:ligatures w14:val="none"/>
              </w:rPr>
              <w:t>Mineral Resources are calculated using a tungsten trioxide (WO</w:t>
            </w:r>
            <w:r w:rsidRPr="00F06785">
              <w:rPr>
                <w:rFonts w:ascii="Aptos Narrow" w:eastAsia="Times New Roman" w:hAnsi="Aptos Narrow" w:cs="Times New Roman"/>
                <w:color w:val="000000"/>
                <w:kern w:val="0"/>
                <w:sz w:val="18"/>
                <w:szCs w:val="18"/>
                <w:vertAlign w:val="subscript"/>
                <w14:ligatures w14:val="none"/>
              </w:rPr>
              <w:t>3</w:t>
            </w:r>
            <w:r w:rsidRPr="00F06785">
              <w:rPr>
                <w:rFonts w:ascii="Aptos Narrow" w:eastAsia="Times New Roman" w:hAnsi="Aptos Narrow" w:cs="Times New Roman"/>
                <w:color w:val="000000"/>
                <w:kern w:val="0"/>
                <w:sz w:val="18"/>
                <w:szCs w:val="18"/>
                <w14:ligatures w14:val="none"/>
              </w:rPr>
              <w:t xml:space="preserve">) price of US$13.13 per pound and a gold price of US$2,373.00 per troy ounce.  Both metal prices are based on a trailing monthly average of the last 36-months ending in July 2025.  </w:t>
            </w:r>
          </w:p>
        </w:tc>
      </w:tr>
      <w:tr w:rsidR="0082030E" w:rsidRPr="0082030E" w14:paraId="592D12E6" w14:textId="77777777" w:rsidTr="00234CE5">
        <w:trPr>
          <w:trHeight w:val="1060"/>
        </w:trPr>
        <w:tc>
          <w:tcPr>
            <w:tcW w:w="9967" w:type="dxa"/>
            <w:gridSpan w:val="8"/>
            <w:tcBorders>
              <w:top w:val="nil"/>
              <w:left w:val="nil"/>
              <w:bottom w:val="nil"/>
              <w:right w:val="nil"/>
            </w:tcBorders>
            <w:vAlign w:val="center"/>
            <w:hideMark/>
          </w:tcPr>
          <w:p w14:paraId="30F59A4C" w14:textId="5EFA04F3" w:rsidR="0082030E" w:rsidRPr="00F06785" w:rsidRDefault="0082030E" w:rsidP="00F06785">
            <w:pPr>
              <w:pStyle w:val="ListParagraph"/>
              <w:numPr>
                <w:ilvl w:val="0"/>
                <w:numId w:val="3"/>
              </w:numPr>
              <w:spacing w:after="0" w:line="240" w:lineRule="auto"/>
              <w:rPr>
                <w:rFonts w:ascii="Aptos Narrow" w:eastAsia="Times New Roman" w:hAnsi="Aptos Narrow" w:cs="Times New Roman"/>
                <w:color w:val="000000"/>
                <w:kern w:val="0"/>
                <w:sz w:val="18"/>
                <w:szCs w:val="18"/>
                <w14:ligatures w14:val="none"/>
              </w:rPr>
            </w:pPr>
            <w:r w:rsidRPr="00F06785">
              <w:rPr>
                <w:rFonts w:ascii="Aptos Narrow" w:eastAsia="Times New Roman" w:hAnsi="Aptos Narrow" w:cs="Times New Roman"/>
                <w:color w:val="000000"/>
                <w:kern w:val="0"/>
                <w:sz w:val="18"/>
                <w:szCs w:val="18"/>
                <w14:ligatures w14:val="none"/>
              </w:rPr>
              <w:t xml:space="preserve">The mineral resources presented above are global and do not include a detailed pit or underground design.  The pit limits were established by calculating a cutoff grade (US$5.00 per ton) representing an estimate of the operating cost and metal recoveries required to mine the placer deposit.  Since the deposit is a placer deposit, internal waste blocks are not </w:t>
            </w:r>
            <w:r w:rsidR="00F06785" w:rsidRPr="00F06785">
              <w:rPr>
                <w:rFonts w:ascii="Aptos Narrow" w:eastAsia="Times New Roman" w:hAnsi="Aptos Narrow" w:cs="Times New Roman"/>
                <w:color w:val="000000"/>
                <w:kern w:val="0"/>
                <w:sz w:val="18"/>
                <w:szCs w:val="18"/>
                <w14:ligatures w14:val="none"/>
              </w:rPr>
              <w:t>mined,</w:t>
            </w:r>
            <w:r w:rsidRPr="00F06785">
              <w:rPr>
                <w:rFonts w:ascii="Aptos Narrow" w:eastAsia="Times New Roman" w:hAnsi="Aptos Narrow" w:cs="Times New Roman"/>
                <w:color w:val="000000"/>
                <w:kern w:val="0"/>
                <w:sz w:val="18"/>
                <w:szCs w:val="18"/>
                <w14:ligatures w14:val="none"/>
              </w:rPr>
              <w:t xml:space="preserve"> and the extent of the pit limits is the extent of the known mineral resource or property boundaries.  </w:t>
            </w:r>
          </w:p>
        </w:tc>
      </w:tr>
      <w:tr w:rsidR="0082030E" w:rsidRPr="0082030E" w14:paraId="3D581CD3" w14:textId="77777777" w:rsidTr="00234CE5">
        <w:trPr>
          <w:trHeight w:val="630"/>
        </w:trPr>
        <w:tc>
          <w:tcPr>
            <w:tcW w:w="9967" w:type="dxa"/>
            <w:gridSpan w:val="8"/>
            <w:tcBorders>
              <w:top w:val="nil"/>
              <w:left w:val="nil"/>
              <w:bottom w:val="nil"/>
              <w:right w:val="nil"/>
            </w:tcBorders>
            <w:vAlign w:val="center"/>
            <w:hideMark/>
          </w:tcPr>
          <w:p w14:paraId="313AF1B9" w14:textId="682B5DD7" w:rsidR="0082030E" w:rsidRPr="00F06785" w:rsidRDefault="0082030E" w:rsidP="00F06785">
            <w:pPr>
              <w:pStyle w:val="ListParagraph"/>
              <w:numPr>
                <w:ilvl w:val="0"/>
                <w:numId w:val="3"/>
              </w:numPr>
              <w:spacing w:after="0" w:line="240" w:lineRule="auto"/>
              <w:rPr>
                <w:rFonts w:ascii="Aptos Narrow" w:eastAsia="Times New Roman" w:hAnsi="Aptos Narrow" w:cs="Times New Roman"/>
                <w:color w:val="000000"/>
                <w:kern w:val="0"/>
                <w:sz w:val="18"/>
                <w:szCs w:val="18"/>
                <w14:ligatures w14:val="none"/>
              </w:rPr>
            </w:pPr>
            <w:r w:rsidRPr="00F06785">
              <w:rPr>
                <w:rFonts w:ascii="Aptos Narrow" w:eastAsia="Times New Roman" w:hAnsi="Aptos Narrow" w:cs="Times New Roman"/>
                <w:color w:val="000000"/>
                <w:kern w:val="0"/>
                <w:sz w:val="18"/>
                <w:szCs w:val="18"/>
                <w14:ligatures w14:val="none"/>
              </w:rPr>
              <w:t xml:space="preserve">Mineral resources which are not mineral reserves do not have demonstrated economic viability.  The estimate of mineral resources may be materially affected by environmental, permitting, legal, title, socio-political, marketing, or other relevant issues. </w:t>
            </w:r>
          </w:p>
        </w:tc>
      </w:tr>
      <w:tr w:rsidR="0082030E" w:rsidRPr="0082030E" w14:paraId="2ECEC900" w14:textId="77777777" w:rsidTr="00234CE5">
        <w:trPr>
          <w:trHeight w:val="2190"/>
        </w:trPr>
        <w:tc>
          <w:tcPr>
            <w:tcW w:w="9967" w:type="dxa"/>
            <w:gridSpan w:val="8"/>
            <w:tcBorders>
              <w:top w:val="nil"/>
              <w:left w:val="nil"/>
              <w:bottom w:val="nil"/>
              <w:right w:val="nil"/>
            </w:tcBorders>
            <w:vAlign w:val="center"/>
            <w:hideMark/>
          </w:tcPr>
          <w:p w14:paraId="7856A397" w14:textId="3D84B183" w:rsidR="0082030E" w:rsidRPr="00F06785" w:rsidRDefault="0082030E" w:rsidP="00F06785">
            <w:pPr>
              <w:pStyle w:val="ListParagraph"/>
              <w:numPr>
                <w:ilvl w:val="0"/>
                <w:numId w:val="3"/>
              </w:numPr>
              <w:spacing w:after="0" w:line="240" w:lineRule="auto"/>
              <w:rPr>
                <w:rFonts w:ascii="Aptos Narrow" w:eastAsia="Times New Roman" w:hAnsi="Aptos Narrow" w:cs="Times New Roman"/>
                <w:color w:val="000000"/>
                <w:kern w:val="0"/>
                <w:sz w:val="18"/>
                <w:szCs w:val="18"/>
                <w14:ligatures w14:val="none"/>
              </w:rPr>
            </w:pPr>
            <w:r w:rsidRPr="00F06785">
              <w:rPr>
                <w:rFonts w:ascii="Aptos Narrow" w:eastAsia="Times New Roman" w:hAnsi="Aptos Narrow" w:cs="Times New Roman"/>
                <w:color w:val="000000"/>
                <w:kern w:val="0"/>
                <w:sz w:val="18"/>
                <w:szCs w:val="18"/>
                <w14:ligatures w14:val="none"/>
              </w:rPr>
              <w:t xml:space="preserve">The mineral resources presented here were estimated using a simple polygonal boundary around each drillhole.  Within that individual block, the tungsten trioxide and gold grades per cubic yard </w:t>
            </w:r>
            <w:r w:rsidR="00F06785" w:rsidRPr="00F06785">
              <w:rPr>
                <w:rFonts w:ascii="Aptos Narrow" w:eastAsia="Times New Roman" w:hAnsi="Aptos Narrow" w:cs="Times New Roman"/>
                <w:color w:val="000000"/>
                <w:kern w:val="0"/>
                <w:sz w:val="18"/>
                <w:szCs w:val="18"/>
                <w14:ligatures w14:val="none"/>
              </w:rPr>
              <w:t>were</w:t>
            </w:r>
            <w:r w:rsidRPr="00F06785">
              <w:rPr>
                <w:rFonts w:ascii="Aptos Narrow" w:eastAsia="Times New Roman" w:hAnsi="Aptos Narrow" w:cs="Times New Roman"/>
                <w:color w:val="000000"/>
                <w:kern w:val="0"/>
                <w:sz w:val="18"/>
                <w:szCs w:val="18"/>
                <w14:ligatures w14:val="none"/>
              </w:rPr>
              <w:t xml:space="preserve"> applied as the metal grades for that block.  The overall gross value of the block was then calculated and a total block value of $5.00 per yard or above was considered as mineral resources.  Blocks have a gross value of less than $US$5.00 per </w:t>
            </w:r>
            <w:r w:rsidR="00F06785" w:rsidRPr="00F06785">
              <w:rPr>
                <w:rFonts w:ascii="Aptos Narrow" w:eastAsia="Times New Roman" w:hAnsi="Aptos Narrow" w:cs="Times New Roman"/>
                <w:color w:val="000000"/>
                <w:kern w:val="0"/>
                <w:sz w:val="18"/>
                <w:szCs w:val="18"/>
                <w14:ligatures w14:val="none"/>
              </w:rPr>
              <w:t>yard, which</w:t>
            </w:r>
            <w:r w:rsidRPr="00F06785">
              <w:rPr>
                <w:rFonts w:ascii="Aptos Narrow" w:eastAsia="Times New Roman" w:hAnsi="Aptos Narrow" w:cs="Times New Roman"/>
                <w:color w:val="000000"/>
                <w:kern w:val="0"/>
                <w:sz w:val="18"/>
                <w:szCs w:val="18"/>
                <w14:ligatures w14:val="none"/>
              </w:rPr>
              <w:t xml:space="preserve"> are not considered as mineral resources and are assumed to remain unmined.  All mineral resources are reported using an open pit equivalent tungsten trioxide grade of 0.231 pound per cubic yard.  For the Black Hawk placer deposit a tungsten trioxide capping grade of 8.0 pounds per cubic yard was used and a gold capping grade </w:t>
            </w:r>
            <w:r w:rsidR="00F06785" w:rsidRPr="00F06785">
              <w:rPr>
                <w:rFonts w:ascii="Aptos Narrow" w:eastAsia="Times New Roman" w:hAnsi="Aptos Narrow" w:cs="Times New Roman"/>
                <w:color w:val="000000"/>
                <w:kern w:val="0"/>
                <w:sz w:val="18"/>
                <w:szCs w:val="18"/>
                <w14:ligatures w14:val="none"/>
              </w:rPr>
              <w:t>of 0.017</w:t>
            </w:r>
            <w:r w:rsidRPr="00F06785">
              <w:rPr>
                <w:rFonts w:ascii="Aptos Narrow" w:eastAsia="Times New Roman" w:hAnsi="Aptos Narrow" w:cs="Times New Roman"/>
                <w:color w:val="000000"/>
                <w:kern w:val="0"/>
                <w:sz w:val="18"/>
                <w:szCs w:val="18"/>
                <w14:ligatures w14:val="none"/>
              </w:rPr>
              <w:t xml:space="preserve"> troy ounces per cubic yard was used.  For the Spud Patch placer deposit a tungsten trioxide capping grade of 7.0 pounds per cubic yard was used and a gold capping grade </w:t>
            </w:r>
            <w:r w:rsidR="00F06785" w:rsidRPr="00F06785">
              <w:rPr>
                <w:rFonts w:ascii="Aptos Narrow" w:eastAsia="Times New Roman" w:hAnsi="Aptos Narrow" w:cs="Times New Roman"/>
                <w:color w:val="000000"/>
                <w:kern w:val="0"/>
                <w:sz w:val="18"/>
                <w:szCs w:val="18"/>
                <w14:ligatures w14:val="none"/>
              </w:rPr>
              <w:t>of 0.0028</w:t>
            </w:r>
            <w:r w:rsidRPr="00F06785">
              <w:rPr>
                <w:rFonts w:ascii="Aptos Narrow" w:eastAsia="Times New Roman" w:hAnsi="Aptos Narrow" w:cs="Times New Roman"/>
                <w:color w:val="000000"/>
                <w:kern w:val="0"/>
                <w:sz w:val="18"/>
                <w:szCs w:val="18"/>
                <w14:ligatures w14:val="none"/>
              </w:rPr>
              <w:t xml:space="preserve"> troy ounces per cubic yard was used.    </w:t>
            </w:r>
          </w:p>
        </w:tc>
      </w:tr>
      <w:tr w:rsidR="0082030E" w:rsidRPr="0082030E" w14:paraId="34ACDF5F" w14:textId="77777777" w:rsidTr="00234CE5">
        <w:trPr>
          <w:trHeight w:val="800"/>
        </w:trPr>
        <w:tc>
          <w:tcPr>
            <w:tcW w:w="9967" w:type="dxa"/>
            <w:gridSpan w:val="8"/>
            <w:tcBorders>
              <w:top w:val="nil"/>
              <w:left w:val="nil"/>
              <w:bottom w:val="nil"/>
              <w:right w:val="nil"/>
            </w:tcBorders>
            <w:vAlign w:val="center"/>
            <w:hideMark/>
          </w:tcPr>
          <w:p w14:paraId="4E01C344" w14:textId="4FA2657E" w:rsidR="0082030E" w:rsidRPr="00F06785" w:rsidRDefault="0082030E" w:rsidP="00F06785">
            <w:pPr>
              <w:pStyle w:val="ListParagraph"/>
              <w:numPr>
                <w:ilvl w:val="0"/>
                <w:numId w:val="3"/>
              </w:numPr>
              <w:spacing w:after="0" w:line="240" w:lineRule="auto"/>
              <w:rPr>
                <w:rFonts w:ascii="Aptos Narrow" w:eastAsia="Times New Roman" w:hAnsi="Aptos Narrow" w:cs="Times New Roman"/>
                <w:color w:val="000000"/>
                <w:kern w:val="0"/>
                <w:sz w:val="18"/>
                <w:szCs w:val="18"/>
                <w14:ligatures w14:val="none"/>
              </w:rPr>
            </w:pPr>
            <w:r w:rsidRPr="00F06785">
              <w:rPr>
                <w:rFonts w:ascii="Aptos Narrow" w:eastAsia="Times New Roman" w:hAnsi="Aptos Narrow" w:cs="Times New Roman"/>
                <w:color w:val="000000"/>
                <w:kern w:val="0"/>
                <w:sz w:val="18"/>
                <w:szCs w:val="18"/>
                <w14:ligatures w14:val="none"/>
              </w:rPr>
              <w:t>The mineral resources presented here were estimated using the Canadian Institute of Mining, Metallurgy and Petroleum (CIM), CIM Standards on Mineral Resources and Reserves, Definitions and Guidelines prepared by the CIM Standing Committee on Reserve Definitions and adopted by CIM Council May 10, 2014.</w:t>
            </w:r>
          </w:p>
        </w:tc>
      </w:tr>
      <w:tr w:rsidR="0082030E" w:rsidRPr="0082030E" w14:paraId="53D0432E" w14:textId="77777777" w:rsidTr="00234CE5">
        <w:trPr>
          <w:trHeight w:val="290"/>
        </w:trPr>
        <w:tc>
          <w:tcPr>
            <w:tcW w:w="9967" w:type="dxa"/>
            <w:gridSpan w:val="8"/>
            <w:tcBorders>
              <w:top w:val="nil"/>
              <w:left w:val="nil"/>
              <w:bottom w:val="nil"/>
              <w:right w:val="nil"/>
            </w:tcBorders>
            <w:vAlign w:val="center"/>
            <w:hideMark/>
          </w:tcPr>
          <w:p w14:paraId="670206EB" w14:textId="04B86067" w:rsidR="0082030E" w:rsidRPr="00F06785" w:rsidRDefault="0082030E" w:rsidP="00F06785">
            <w:pPr>
              <w:pStyle w:val="ListParagraph"/>
              <w:numPr>
                <w:ilvl w:val="0"/>
                <w:numId w:val="3"/>
              </w:numPr>
              <w:spacing w:after="0" w:line="240" w:lineRule="auto"/>
              <w:rPr>
                <w:rFonts w:ascii="Aptos Narrow" w:eastAsia="Times New Roman" w:hAnsi="Aptos Narrow" w:cs="Times New Roman"/>
                <w:color w:val="000000"/>
                <w:kern w:val="0"/>
                <w:sz w:val="18"/>
                <w:szCs w:val="18"/>
                <w14:ligatures w14:val="none"/>
              </w:rPr>
            </w:pPr>
            <w:r w:rsidRPr="00F06785">
              <w:rPr>
                <w:rFonts w:ascii="Aptos Narrow" w:eastAsia="Times New Roman" w:hAnsi="Aptos Narrow" w:cs="Times New Roman"/>
                <w:color w:val="000000"/>
                <w:kern w:val="0"/>
                <w:sz w:val="18"/>
                <w:szCs w:val="18"/>
                <w14:ligatures w14:val="none"/>
              </w:rPr>
              <w:t>Figures are rounded and totals may not add correctly.</w:t>
            </w:r>
          </w:p>
        </w:tc>
      </w:tr>
    </w:tbl>
    <w:p w14:paraId="024F3C98" w14:textId="77777777" w:rsidR="007D61FA" w:rsidRDefault="007D61FA" w:rsidP="007D61FA"/>
    <w:p w14:paraId="78761069" w14:textId="4376F791" w:rsidR="00097904" w:rsidRPr="00097904" w:rsidRDefault="00097904" w:rsidP="00097904">
      <w:pPr>
        <w:rPr>
          <w:b/>
          <w:bCs/>
        </w:rPr>
      </w:pPr>
      <w:r w:rsidRPr="00097904">
        <w:rPr>
          <w:b/>
          <w:bCs/>
        </w:rPr>
        <w:t xml:space="preserve">Exploration </w:t>
      </w:r>
      <w:r w:rsidR="00BF6336">
        <w:rPr>
          <w:b/>
          <w:bCs/>
        </w:rPr>
        <w:t xml:space="preserve">and Development </w:t>
      </w:r>
      <w:r w:rsidRPr="00097904">
        <w:rPr>
          <w:b/>
          <w:bCs/>
        </w:rPr>
        <w:t>Plans</w:t>
      </w:r>
    </w:p>
    <w:p w14:paraId="0B9283E2" w14:textId="14FAD216" w:rsidR="003530B1" w:rsidRDefault="003530B1" w:rsidP="00097904">
      <w:r>
        <w:t>B&amp;N continues to explore and develop the Black Hawk and Spud Patch placers including:</w:t>
      </w:r>
    </w:p>
    <w:p w14:paraId="2273E145" w14:textId="77777777" w:rsidR="003530B1" w:rsidRPr="00A208EE" w:rsidRDefault="003530B1" w:rsidP="003530B1">
      <w:pPr>
        <w:numPr>
          <w:ilvl w:val="0"/>
          <w:numId w:val="5"/>
        </w:numPr>
      </w:pPr>
      <w:r w:rsidRPr="00A208EE">
        <w:t>900+ soil samples for tungsten, gold, and rare earth element potential</w:t>
      </w:r>
    </w:p>
    <w:p w14:paraId="61F05D9F" w14:textId="77777777" w:rsidR="003530B1" w:rsidRPr="00A208EE" w:rsidRDefault="003530B1" w:rsidP="003530B1">
      <w:pPr>
        <w:numPr>
          <w:ilvl w:val="0"/>
          <w:numId w:val="5"/>
        </w:numPr>
      </w:pPr>
      <w:r w:rsidRPr="00A208EE">
        <w:t>Targeting untested zones along the historically rich Union South vein</w:t>
      </w:r>
    </w:p>
    <w:p w14:paraId="5D448908" w14:textId="1DBDF783" w:rsidR="003530B1" w:rsidRPr="00A208EE" w:rsidRDefault="003530B1" w:rsidP="003530B1">
      <w:pPr>
        <w:numPr>
          <w:ilvl w:val="0"/>
          <w:numId w:val="5"/>
        </w:numPr>
      </w:pPr>
      <w:r w:rsidRPr="00A208EE">
        <w:t xml:space="preserve">Further auger drilling to improve confidence in </w:t>
      </w:r>
      <w:r w:rsidR="004E78FC">
        <w:t xml:space="preserve">and expand the mineral </w:t>
      </w:r>
      <w:r w:rsidRPr="00A208EE">
        <w:t>resource estimates</w:t>
      </w:r>
    </w:p>
    <w:p w14:paraId="4B263F81" w14:textId="26B8E1DF" w:rsidR="00097904" w:rsidRDefault="003530B1" w:rsidP="00097904">
      <w:pPr>
        <w:numPr>
          <w:ilvl w:val="0"/>
          <w:numId w:val="5"/>
        </w:numPr>
      </w:pPr>
      <w:r w:rsidRPr="00A208EE">
        <w:t xml:space="preserve">Metallurgical testing to maximize </w:t>
      </w:r>
      <w:r w:rsidR="004E78FC">
        <w:t xml:space="preserve">metal </w:t>
      </w:r>
      <w:r w:rsidRPr="00A208EE">
        <w:t>recovery rates</w:t>
      </w:r>
    </w:p>
    <w:p w14:paraId="7B7A3D96" w14:textId="03799CF3" w:rsidR="00E333A5" w:rsidRPr="00097904" w:rsidRDefault="00E333A5" w:rsidP="00097904">
      <w:pPr>
        <w:numPr>
          <w:ilvl w:val="0"/>
          <w:numId w:val="5"/>
        </w:numPr>
      </w:pPr>
      <w:r>
        <w:t>Environmental permitting for the initial mining operation at Black Hawk</w:t>
      </w:r>
    </w:p>
    <w:p w14:paraId="7E91496B" w14:textId="77777777" w:rsidR="000B4C58" w:rsidRDefault="000B4C58" w:rsidP="00097904">
      <w:pPr>
        <w:rPr>
          <w:b/>
          <w:bCs/>
        </w:rPr>
      </w:pPr>
    </w:p>
    <w:p w14:paraId="7DE31948" w14:textId="29FD8984" w:rsidR="00097904" w:rsidRPr="003530B1" w:rsidRDefault="00A4283C" w:rsidP="00097904">
      <w:pPr>
        <w:rPr>
          <w:b/>
          <w:bCs/>
        </w:rPr>
      </w:pPr>
      <w:r>
        <w:rPr>
          <w:b/>
          <w:bCs/>
        </w:rPr>
        <w:lastRenderedPageBreak/>
        <w:t>Manager</w:t>
      </w:r>
      <w:r w:rsidR="00097904" w:rsidRPr="00097904">
        <w:rPr>
          <w:b/>
          <w:bCs/>
        </w:rPr>
        <w:t xml:space="preserve"> Statement</w:t>
      </w:r>
    </w:p>
    <w:p w14:paraId="025EE9C6" w14:textId="64A6A52B" w:rsidR="00AD1812" w:rsidRPr="00E60DED" w:rsidRDefault="003530B1" w:rsidP="00FC18EF">
      <w:r w:rsidRPr="00A208EE">
        <w:t>“We believe these results confirm the significant potential of the Rand Mining District,” said Robert Binkele, Managing Member, B&amp;N Mining</w:t>
      </w:r>
      <w:r w:rsidR="00204D67">
        <w:t xml:space="preserve"> Inc</w:t>
      </w:r>
      <w:r w:rsidRPr="00A208EE">
        <w:t>.</w:t>
      </w:r>
      <w:r w:rsidR="00204D67">
        <w:t xml:space="preserve">  </w:t>
      </w:r>
      <w:r w:rsidR="00204D67" w:rsidRPr="00A208EE">
        <w:t>“Tungsten is a U.S. critical mineral with strategic importance, and this estimate marks a major step toward domestic production from historically proven ground.</w:t>
      </w:r>
      <w:r w:rsidR="00204D67">
        <w:t xml:space="preserve">  </w:t>
      </w:r>
      <w:r w:rsidR="00DD0CDB">
        <w:t>This will increase the security of the United States, bring jobs to southeastern California, and position B&amp;N as a leader in the domestic production of tungsten.  This coupled with our expanding property position in the Rand Mining district, continued exploration of the Kelly mine, and new exploration on the recently acquired mineral properties, ensure a bright future for B&amp;N Mining as well as the Rand Mining district.”</w:t>
      </w:r>
    </w:p>
    <w:p w14:paraId="3F597F6F" w14:textId="2B0F3B33" w:rsidR="00FC18EF" w:rsidRPr="00FC18EF" w:rsidRDefault="00FC18EF" w:rsidP="00FC18EF">
      <w:pPr>
        <w:rPr>
          <w:b/>
          <w:bCs/>
        </w:rPr>
      </w:pPr>
      <w:r w:rsidRPr="00FC18EF">
        <w:rPr>
          <w:b/>
          <w:bCs/>
        </w:rPr>
        <w:t>Qualified Person Statement</w:t>
      </w:r>
    </w:p>
    <w:p w14:paraId="677AA382" w14:textId="77777777" w:rsidR="00FC18EF" w:rsidRDefault="00FC18EF" w:rsidP="00FC18EF">
      <w:r w:rsidRPr="00FC18EF">
        <w:rPr>
          <w:b/>
          <w:bCs/>
        </w:rPr>
        <w:t>Sam Shoemaker, P.G.</w:t>
      </w:r>
      <w:r w:rsidRPr="00FC18EF">
        <w:t>, of the John T. Boyd Company, is a Qualified Person as defined under NI 43-101 and has reviewed and approved the scientific and technical information contained in this news release.</w:t>
      </w:r>
    </w:p>
    <w:p w14:paraId="3F1FDC70" w14:textId="77777777" w:rsidR="000B4C58" w:rsidRPr="000B4C58" w:rsidRDefault="000B4C58" w:rsidP="000B4C58">
      <w:r w:rsidRPr="000B4C58">
        <w:rPr>
          <w:b/>
          <w:bCs/>
        </w:rPr>
        <w:t>About B&amp;N Mining Properties, LLC</w:t>
      </w:r>
    </w:p>
    <w:p w14:paraId="44588456" w14:textId="77777777" w:rsidR="000B4C58" w:rsidRPr="000B4C58" w:rsidRDefault="000B4C58" w:rsidP="000B4C58">
      <w:r w:rsidRPr="000B4C58">
        <w:t xml:space="preserve">B&amp;N Mining Properties, LLC is revitalizing the historic Rand Mining District amid strong commodity prices, global supply constraints, and untapped gold, silver, and tungsten resources. We are committed to preserving the district’s rich history while advancing development in a safe, environmentally responsible way that leaves </w:t>
      </w:r>
      <w:proofErr w:type="gramStart"/>
      <w:r w:rsidRPr="000B4C58">
        <w:t>a lasting legacy</w:t>
      </w:r>
      <w:proofErr w:type="gramEnd"/>
      <w:r w:rsidRPr="000B4C58">
        <w:t>.</w:t>
      </w:r>
    </w:p>
    <w:p w14:paraId="12D9B44E" w14:textId="77777777" w:rsidR="000B4C58" w:rsidRPr="000B4C58" w:rsidRDefault="000B4C58" w:rsidP="000B4C58">
      <w:r w:rsidRPr="000B4C58">
        <w:t>The recent addition of tungsten to our portfolio opens major opportunities in the fast-growing strategic metals sector. B&amp;N’s Kelly Southwest deposit holds an initial resource estimate of 306,000 ounces of gold, with active drilling at Kelly North to expand it.</w:t>
      </w:r>
    </w:p>
    <w:p w14:paraId="44E6DEBD" w14:textId="32B02162" w:rsidR="000B4C58" w:rsidRPr="000B4C58" w:rsidRDefault="000B4C58" w:rsidP="000B4C58">
      <w:r w:rsidRPr="000B4C58">
        <w:t xml:space="preserve">Our holdings include the historic Kelly Mine at Red Mountain (20 million ounces silver), the King Solomon, Butte, Butte Wedge, Little Butte Extension, Minnehaha, and Napoleon mines (300,000 ounces gold combined historic production), most of the </w:t>
      </w:r>
      <w:proofErr w:type="spellStart"/>
      <w:r w:rsidRPr="000B4C58">
        <w:t>Atolia</w:t>
      </w:r>
      <w:proofErr w:type="spellEnd"/>
      <w:r w:rsidRPr="000B4C58">
        <w:t xml:space="preserve"> tungsten mines, and additional properties in Cerro Gordo, Skidoo, Wild Rose, Silver Mountain, and Lake Isabella. </w:t>
      </w:r>
    </w:p>
    <w:p w14:paraId="13DD72E0" w14:textId="7A523749" w:rsidR="00742A36" w:rsidRDefault="00E333A5" w:rsidP="00A97A5B">
      <w:r>
        <w:t xml:space="preserve">in the Cerro Gordo, Skidoo, Wild Rose, Silver Mountain, and Lake Isabella areas.  </w:t>
      </w:r>
    </w:p>
    <w:p w14:paraId="7122725C" w14:textId="5D31BC1C" w:rsidR="004F1C5B" w:rsidRPr="004F1C5B" w:rsidRDefault="004F1C5B" w:rsidP="00A97A5B">
      <w:pPr>
        <w:rPr>
          <w:b/>
          <w:bCs/>
        </w:rPr>
      </w:pPr>
      <w:r w:rsidRPr="004F1C5B">
        <w:rPr>
          <w:b/>
          <w:bCs/>
        </w:rPr>
        <w:t>Contact</w:t>
      </w:r>
    </w:p>
    <w:p w14:paraId="3AC7764D" w14:textId="086BF372" w:rsidR="00A97A5B" w:rsidRDefault="00A97A5B" w:rsidP="00A97A5B">
      <w:r>
        <w:t xml:space="preserve">If you have any questions, please reach out to </w:t>
      </w:r>
      <w:hyperlink r:id="rId9" w:history="1">
        <w:r w:rsidR="00B74129" w:rsidRPr="006B351A">
          <w:rPr>
            <w:rStyle w:val="Hyperlink"/>
          </w:rPr>
          <w:t>info@bnmininginc.com</w:t>
        </w:r>
      </w:hyperlink>
      <w:r w:rsidR="00742A36">
        <w:t>, call 760-</w:t>
      </w:r>
      <w:r w:rsidR="000B4C58">
        <w:t>409-7117</w:t>
      </w:r>
      <w:r w:rsidR="00B74129">
        <w:t xml:space="preserve"> or visit our website at www.</w:t>
      </w:r>
      <w:r w:rsidR="008E5784">
        <w:t>bnmininginc</w:t>
      </w:r>
      <w:r w:rsidR="00B74129">
        <w:t>.com</w:t>
      </w:r>
      <w:r>
        <w:t xml:space="preserve">. </w:t>
      </w:r>
    </w:p>
    <w:p w14:paraId="6DFA9AAB" w14:textId="5D4D27F0" w:rsidR="004041BF" w:rsidRDefault="004041BF"/>
    <w:sectPr w:rsidR="004041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4B3C"/>
    <w:multiLevelType w:val="multilevel"/>
    <w:tmpl w:val="03E6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14537"/>
    <w:multiLevelType w:val="multilevel"/>
    <w:tmpl w:val="3912F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B60F4"/>
    <w:multiLevelType w:val="multilevel"/>
    <w:tmpl w:val="9C3AD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D85672"/>
    <w:multiLevelType w:val="hybridMultilevel"/>
    <w:tmpl w:val="2C308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9D59C3"/>
    <w:multiLevelType w:val="hybridMultilevel"/>
    <w:tmpl w:val="BBAC3E86"/>
    <w:lvl w:ilvl="0" w:tplc="B4C691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3635BE"/>
    <w:multiLevelType w:val="multilevel"/>
    <w:tmpl w:val="E5602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3766605">
    <w:abstractNumId w:val="5"/>
  </w:num>
  <w:num w:numId="2" w16cid:durableId="1358850302">
    <w:abstractNumId w:val="1"/>
  </w:num>
  <w:num w:numId="3" w16cid:durableId="1767387511">
    <w:abstractNumId w:val="4"/>
  </w:num>
  <w:num w:numId="4" w16cid:durableId="243228560">
    <w:abstractNumId w:val="0"/>
  </w:num>
  <w:num w:numId="5" w16cid:durableId="2142190366">
    <w:abstractNumId w:val="3"/>
  </w:num>
  <w:num w:numId="6" w16cid:durableId="10835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904"/>
    <w:rsid w:val="00091DCF"/>
    <w:rsid w:val="00097904"/>
    <w:rsid w:val="000A24A3"/>
    <w:rsid w:val="000B4C58"/>
    <w:rsid w:val="00186F98"/>
    <w:rsid w:val="001E7B16"/>
    <w:rsid w:val="00204D67"/>
    <w:rsid w:val="00234CE5"/>
    <w:rsid w:val="00247845"/>
    <w:rsid w:val="0029647A"/>
    <w:rsid w:val="002C3E65"/>
    <w:rsid w:val="003343C0"/>
    <w:rsid w:val="003530B1"/>
    <w:rsid w:val="004041BF"/>
    <w:rsid w:val="00425EBB"/>
    <w:rsid w:val="004365F1"/>
    <w:rsid w:val="004B45DE"/>
    <w:rsid w:val="004E78FC"/>
    <w:rsid w:val="004F1C5B"/>
    <w:rsid w:val="00514F55"/>
    <w:rsid w:val="0053338F"/>
    <w:rsid w:val="00542E07"/>
    <w:rsid w:val="00572020"/>
    <w:rsid w:val="00606B38"/>
    <w:rsid w:val="00644DC4"/>
    <w:rsid w:val="00647C5D"/>
    <w:rsid w:val="006B265D"/>
    <w:rsid w:val="0071641A"/>
    <w:rsid w:val="00736A00"/>
    <w:rsid w:val="00742A36"/>
    <w:rsid w:val="00776B25"/>
    <w:rsid w:val="007D61FA"/>
    <w:rsid w:val="00811241"/>
    <w:rsid w:val="0082030E"/>
    <w:rsid w:val="00822F9B"/>
    <w:rsid w:val="00893559"/>
    <w:rsid w:val="008A3AA2"/>
    <w:rsid w:val="008A5DD6"/>
    <w:rsid w:val="008E5784"/>
    <w:rsid w:val="00940164"/>
    <w:rsid w:val="009A52F9"/>
    <w:rsid w:val="009E0FEE"/>
    <w:rsid w:val="00A00C1B"/>
    <w:rsid w:val="00A4283C"/>
    <w:rsid w:val="00A578E9"/>
    <w:rsid w:val="00A97A5B"/>
    <w:rsid w:val="00AD1812"/>
    <w:rsid w:val="00B36290"/>
    <w:rsid w:val="00B74129"/>
    <w:rsid w:val="00B94DEF"/>
    <w:rsid w:val="00BF3A7A"/>
    <w:rsid w:val="00BF6336"/>
    <w:rsid w:val="00C1354A"/>
    <w:rsid w:val="00C517E3"/>
    <w:rsid w:val="00C83FE8"/>
    <w:rsid w:val="00CB4652"/>
    <w:rsid w:val="00CC3593"/>
    <w:rsid w:val="00D638C5"/>
    <w:rsid w:val="00DD0CDB"/>
    <w:rsid w:val="00E333A5"/>
    <w:rsid w:val="00E60DED"/>
    <w:rsid w:val="00EB49EF"/>
    <w:rsid w:val="00EE7785"/>
    <w:rsid w:val="00EF24A3"/>
    <w:rsid w:val="00F06785"/>
    <w:rsid w:val="00F237CE"/>
    <w:rsid w:val="00F479D2"/>
    <w:rsid w:val="00FA427E"/>
    <w:rsid w:val="00FA5353"/>
    <w:rsid w:val="00FC18EF"/>
    <w:rsid w:val="00FE4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F9BA7"/>
  <w15:chartTrackingRefBased/>
  <w15:docId w15:val="{BEC6DD7A-B313-4E8D-9BF6-3EC2AB705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7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9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9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9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904"/>
    <w:rPr>
      <w:rFonts w:eastAsiaTheme="majorEastAsia" w:cstheme="majorBidi"/>
      <w:color w:val="272727" w:themeColor="text1" w:themeTint="D8"/>
    </w:rPr>
  </w:style>
  <w:style w:type="paragraph" w:styleId="Title">
    <w:name w:val="Title"/>
    <w:basedOn w:val="Normal"/>
    <w:next w:val="Normal"/>
    <w:link w:val="TitleChar"/>
    <w:uiPriority w:val="10"/>
    <w:qFormat/>
    <w:rsid w:val="00097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904"/>
    <w:pPr>
      <w:spacing w:before="160"/>
      <w:jc w:val="center"/>
    </w:pPr>
    <w:rPr>
      <w:i/>
      <w:iCs/>
      <w:color w:val="404040" w:themeColor="text1" w:themeTint="BF"/>
    </w:rPr>
  </w:style>
  <w:style w:type="character" w:customStyle="1" w:styleId="QuoteChar">
    <w:name w:val="Quote Char"/>
    <w:basedOn w:val="DefaultParagraphFont"/>
    <w:link w:val="Quote"/>
    <w:uiPriority w:val="29"/>
    <w:rsid w:val="00097904"/>
    <w:rPr>
      <w:i/>
      <w:iCs/>
      <w:color w:val="404040" w:themeColor="text1" w:themeTint="BF"/>
    </w:rPr>
  </w:style>
  <w:style w:type="paragraph" w:styleId="ListParagraph">
    <w:name w:val="List Paragraph"/>
    <w:basedOn w:val="Normal"/>
    <w:uiPriority w:val="34"/>
    <w:qFormat/>
    <w:rsid w:val="00097904"/>
    <w:pPr>
      <w:ind w:left="720"/>
      <w:contextualSpacing/>
    </w:pPr>
  </w:style>
  <w:style w:type="character" w:styleId="IntenseEmphasis">
    <w:name w:val="Intense Emphasis"/>
    <w:basedOn w:val="DefaultParagraphFont"/>
    <w:uiPriority w:val="21"/>
    <w:qFormat/>
    <w:rsid w:val="00097904"/>
    <w:rPr>
      <w:i/>
      <w:iCs/>
      <w:color w:val="0F4761" w:themeColor="accent1" w:themeShade="BF"/>
    </w:rPr>
  </w:style>
  <w:style w:type="paragraph" w:styleId="IntenseQuote">
    <w:name w:val="Intense Quote"/>
    <w:basedOn w:val="Normal"/>
    <w:next w:val="Normal"/>
    <w:link w:val="IntenseQuoteChar"/>
    <w:uiPriority w:val="30"/>
    <w:qFormat/>
    <w:rsid w:val="00097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904"/>
    <w:rPr>
      <w:i/>
      <w:iCs/>
      <w:color w:val="0F4761" w:themeColor="accent1" w:themeShade="BF"/>
    </w:rPr>
  </w:style>
  <w:style w:type="character" w:styleId="IntenseReference">
    <w:name w:val="Intense Reference"/>
    <w:basedOn w:val="DefaultParagraphFont"/>
    <w:uiPriority w:val="32"/>
    <w:qFormat/>
    <w:rsid w:val="00097904"/>
    <w:rPr>
      <w:b/>
      <w:bCs/>
      <w:smallCaps/>
      <w:color w:val="0F4761" w:themeColor="accent1" w:themeShade="BF"/>
      <w:spacing w:val="5"/>
    </w:rPr>
  </w:style>
  <w:style w:type="paragraph" w:styleId="Caption">
    <w:name w:val="caption"/>
    <w:basedOn w:val="Normal"/>
    <w:next w:val="Normal"/>
    <w:uiPriority w:val="35"/>
    <w:unhideWhenUsed/>
    <w:qFormat/>
    <w:rsid w:val="00425EBB"/>
    <w:pPr>
      <w:spacing w:after="200" w:line="240" w:lineRule="auto"/>
    </w:pPr>
    <w:rPr>
      <w:i/>
      <w:iCs/>
      <w:color w:val="0E2841" w:themeColor="text2"/>
      <w:sz w:val="18"/>
      <w:szCs w:val="18"/>
    </w:rPr>
  </w:style>
  <w:style w:type="character" w:styleId="Hyperlink">
    <w:name w:val="Hyperlink"/>
    <w:basedOn w:val="DefaultParagraphFont"/>
    <w:uiPriority w:val="99"/>
    <w:unhideWhenUsed/>
    <w:rsid w:val="00A97A5B"/>
    <w:rPr>
      <w:color w:val="467886" w:themeColor="hyperlink"/>
      <w:u w:val="single"/>
    </w:rPr>
  </w:style>
  <w:style w:type="character" w:styleId="UnresolvedMention">
    <w:name w:val="Unresolved Mention"/>
    <w:basedOn w:val="DefaultParagraphFont"/>
    <w:uiPriority w:val="99"/>
    <w:semiHidden/>
    <w:unhideWhenUsed/>
    <w:rsid w:val="00B74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332327">
      <w:bodyDiv w:val="1"/>
      <w:marLeft w:val="0"/>
      <w:marRight w:val="0"/>
      <w:marTop w:val="0"/>
      <w:marBottom w:val="0"/>
      <w:divBdr>
        <w:top w:val="none" w:sz="0" w:space="0" w:color="auto"/>
        <w:left w:val="none" w:sz="0" w:space="0" w:color="auto"/>
        <w:bottom w:val="none" w:sz="0" w:space="0" w:color="auto"/>
        <w:right w:val="none" w:sz="0" w:space="0" w:color="auto"/>
      </w:divBdr>
    </w:div>
    <w:div w:id="1119688541">
      <w:bodyDiv w:val="1"/>
      <w:marLeft w:val="0"/>
      <w:marRight w:val="0"/>
      <w:marTop w:val="0"/>
      <w:marBottom w:val="0"/>
      <w:divBdr>
        <w:top w:val="none" w:sz="0" w:space="0" w:color="auto"/>
        <w:left w:val="none" w:sz="0" w:space="0" w:color="auto"/>
        <w:bottom w:val="none" w:sz="0" w:space="0" w:color="auto"/>
        <w:right w:val="none" w:sz="0" w:space="0" w:color="auto"/>
      </w:divBdr>
    </w:div>
    <w:div w:id="1259682223">
      <w:bodyDiv w:val="1"/>
      <w:marLeft w:val="0"/>
      <w:marRight w:val="0"/>
      <w:marTop w:val="0"/>
      <w:marBottom w:val="0"/>
      <w:divBdr>
        <w:top w:val="none" w:sz="0" w:space="0" w:color="auto"/>
        <w:left w:val="none" w:sz="0" w:space="0" w:color="auto"/>
        <w:bottom w:val="none" w:sz="0" w:space="0" w:color="auto"/>
        <w:right w:val="none" w:sz="0" w:space="0" w:color="auto"/>
      </w:divBdr>
      <w:divsChild>
        <w:div w:id="57698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543563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0141340">
      <w:bodyDiv w:val="1"/>
      <w:marLeft w:val="0"/>
      <w:marRight w:val="0"/>
      <w:marTop w:val="0"/>
      <w:marBottom w:val="0"/>
      <w:divBdr>
        <w:top w:val="none" w:sz="0" w:space="0" w:color="auto"/>
        <w:left w:val="none" w:sz="0" w:space="0" w:color="auto"/>
        <w:bottom w:val="none" w:sz="0" w:space="0" w:color="auto"/>
        <w:right w:val="none" w:sz="0" w:space="0" w:color="auto"/>
      </w:divBdr>
      <w:divsChild>
        <w:div w:id="205842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6722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599882">
      <w:bodyDiv w:val="1"/>
      <w:marLeft w:val="0"/>
      <w:marRight w:val="0"/>
      <w:marTop w:val="0"/>
      <w:marBottom w:val="0"/>
      <w:divBdr>
        <w:top w:val="none" w:sz="0" w:space="0" w:color="auto"/>
        <w:left w:val="none" w:sz="0" w:space="0" w:color="auto"/>
        <w:bottom w:val="none" w:sz="0" w:space="0" w:color="auto"/>
        <w:right w:val="none" w:sz="0" w:space="0" w:color="auto"/>
      </w:divBdr>
    </w:div>
    <w:div w:id="197698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bnmining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105CE-5862-49C1-9B11-377E268AF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1651</Words>
  <Characters>9413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Gomez</dc:creator>
  <cp:keywords/>
  <dc:description/>
  <cp:lastModifiedBy>Taylor  Gomez</cp:lastModifiedBy>
  <cp:revision>2</cp:revision>
  <dcterms:created xsi:type="dcterms:W3CDTF">2025-08-11T21:36:00Z</dcterms:created>
  <dcterms:modified xsi:type="dcterms:W3CDTF">2025-08-11T21:36:00Z</dcterms:modified>
</cp:coreProperties>
</file>