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901F2" w:rsidP="00E901F2" w:rsidRDefault="00E901F2" w14:paraId="69E35400" w14:textId="77777777">
      <w:pPr>
        <w:spacing w:before="100" w:after="100"/>
        <w:jc w:val="both"/>
        <w:rPr>
          <w:rFonts w:ascii="Times New Roman" w:hAnsi="Times New Roman" w:eastAsia="Times New Roman" w:cs="Times New Roman"/>
          <w:b/>
          <w:i/>
          <w:color w:val="222222"/>
        </w:rPr>
      </w:pPr>
      <w:r>
        <w:rPr>
          <w:rFonts w:ascii="Times New Roman" w:hAnsi="Times New Roman" w:eastAsia="Times New Roman" w:cs="Times New Roman"/>
          <w:b/>
          <w:i/>
          <w:noProof/>
          <w:color w:val="222222"/>
        </w:rPr>
        <w:drawing>
          <wp:inline distT="114300" distB="114300" distL="114300" distR="114300" wp14:anchorId="086CCF62" wp14:editId="65BD1C10">
            <wp:extent cx="3257550" cy="533400"/>
            <wp:effectExtent l="0" t="0" r="0" b="0"/>
            <wp:docPr id="1" name="image1.png" descr="A 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ue text on a black background&#10;&#10;Description automatically generated"/>
                    <pic:cNvPicPr preferRelativeResize="0"/>
                  </pic:nvPicPr>
                  <pic:blipFill>
                    <a:blip r:embed="rId7"/>
                    <a:srcRect/>
                    <a:stretch>
                      <a:fillRect/>
                    </a:stretch>
                  </pic:blipFill>
                  <pic:spPr>
                    <a:xfrm>
                      <a:off x="0" y="0"/>
                      <a:ext cx="3257550" cy="533400"/>
                    </a:xfrm>
                    <a:prstGeom prst="rect">
                      <a:avLst/>
                    </a:prstGeom>
                    <a:ln/>
                  </pic:spPr>
                </pic:pic>
              </a:graphicData>
            </a:graphic>
          </wp:inline>
        </w:drawing>
      </w:r>
    </w:p>
    <w:p w:rsidR="00E901F2" w:rsidP="00E901F2" w:rsidRDefault="00E901F2" w14:paraId="511A640F" w14:textId="77777777">
      <w:pPr>
        <w:spacing w:before="100" w:after="100"/>
        <w:jc w:val="both"/>
        <w:rPr>
          <w:rFonts w:ascii="Times New Roman" w:hAnsi="Times New Roman" w:eastAsia="Times New Roman" w:cs="Times New Roman"/>
          <w:b/>
          <w:i/>
          <w:color w:val="222222"/>
          <w:sz w:val="24"/>
          <w:szCs w:val="24"/>
        </w:rPr>
      </w:pPr>
      <w:r>
        <w:rPr>
          <w:rFonts w:ascii="Times New Roman" w:hAnsi="Times New Roman" w:eastAsia="Times New Roman" w:cs="Times New Roman"/>
          <w:b/>
          <w:i/>
          <w:color w:val="222222"/>
        </w:rPr>
        <w:t>News for Immediate Releas</w:t>
      </w:r>
      <w:r>
        <w:rPr>
          <w:rFonts w:ascii="Times New Roman" w:hAnsi="Times New Roman" w:eastAsia="Times New Roman" w:cs="Times New Roman"/>
          <w:b/>
          <w:i/>
          <w:color w:val="222222"/>
          <w:sz w:val="24"/>
          <w:szCs w:val="24"/>
        </w:rPr>
        <w:t xml:space="preserve">e                                                                        </w:t>
      </w:r>
      <w:r>
        <w:rPr>
          <w:rFonts w:ascii="Times New Roman" w:hAnsi="Times New Roman" w:eastAsia="Times New Roman" w:cs="Times New Roman"/>
          <w:b/>
          <w:i/>
          <w:color w:val="222222"/>
          <w:sz w:val="24"/>
          <w:szCs w:val="24"/>
        </w:rPr>
        <w:tab/>
      </w:r>
    </w:p>
    <w:p w:rsidR="00E901F2" w:rsidP="00E901F2" w:rsidRDefault="00E901F2" w14:paraId="7C7D680A" w14:textId="179A8F97">
      <w:pPr>
        <w:spacing w:before="240" w:after="24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Electrovaya Inc. Closes </w:t>
      </w:r>
      <w:proofErr w:type="spellStart"/>
      <w:r>
        <w:rPr>
          <w:rFonts w:ascii="Times New Roman" w:hAnsi="Times New Roman" w:eastAsia="Times New Roman" w:cs="Times New Roman"/>
          <w:b/>
          <w:sz w:val="28"/>
          <w:szCs w:val="28"/>
        </w:rPr>
        <w:t>US$11.1</w:t>
      </w:r>
      <w:proofErr w:type="spellEnd"/>
      <w:r>
        <w:rPr>
          <w:rFonts w:ascii="Times New Roman" w:hAnsi="Times New Roman" w:eastAsia="Times New Roman" w:cs="Times New Roman"/>
          <w:b/>
          <w:sz w:val="28"/>
          <w:szCs w:val="28"/>
        </w:rPr>
        <w:t xml:space="preserve"> million Public Offering of Common Shares</w:t>
      </w:r>
    </w:p>
    <w:p w:rsidR="00E901F2" w:rsidP="00E901F2" w:rsidRDefault="00E901F2" w14:paraId="720D4A9B" w14:textId="37D418DE">
      <w:pPr>
        <w:spacing w:line="240" w:lineRule="auto"/>
        <w:jc w:val="both"/>
        <w:rPr>
          <w:rFonts w:ascii="Times New Roman" w:hAnsi="Times New Roman" w:eastAsia="Times New Roman" w:cs="Times New Roman"/>
          <w:sz w:val="24"/>
          <w:szCs w:val="24"/>
        </w:rPr>
      </w:pPr>
      <w:bookmarkStart w:name="_gjdgxs" w:colFirst="0" w:colLast="0" w:id="0"/>
      <w:bookmarkEnd w:id="0"/>
      <w:r>
        <w:rPr>
          <w:rFonts w:ascii="Times New Roman" w:hAnsi="Times New Roman" w:eastAsia="Times New Roman" w:cs="Times New Roman"/>
          <w:b/>
          <w:i/>
          <w:sz w:val="24"/>
          <w:szCs w:val="24"/>
        </w:rPr>
        <w:t xml:space="preserve">Toronto, Ontario </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 xml:space="preserve">December 18, 2024 </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Electrovaya Inc. (“</w:t>
      </w:r>
      <w:r w:rsidRPr="00031A0E">
        <w:rPr>
          <w:rFonts w:ascii="Times New Roman" w:hAnsi="Times New Roman" w:eastAsia="Times New Roman" w:cs="Times New Roman"/>
          <w:b/>
          <w:bCs/>
          <w:sz w:val="24"/>
          <w:szCs w:val="24"/>
        </w:rPr>
        <w:t>Electrovaya</w:t>
      </w:r>
      <w:r>
        <w:rPr>
          <w:rFonts w:ascii="Times New Roman" w:hAnsi="Times New Roman" w:eastAsia="Times New Roman" w:cs="Times New Roman"/>
          <w:sz w:val="24"/>
          <w:szCs w:val="24"/>
        </w:rPr>
        <w:t>” or the “</w:t>
      </w:r>
      <w:r w:rsidRPr="00031A0E">
        <w:rPr>
          <w:rFonts w:ascii="Times New Roman" w:hAnsi="Times New Roman" w:eastAsia="Times New Roman" w:cs="Times New Roman"/>
          <w:b/>
          <w:bCs/>
          <w:sz w:val="24"/>
          <w:szCs w:val="24"/>
        </w:rPr>
        <w:t>Company</w:t>
      </w:r>
      <w:r>
        <w:rPr>
          <w:rFonts w:ascii="Times New Roman" w:hAnsi="Times New Roman" w:eastAsia="Times New Roman" w:cs="Times New Roman"/>
          <w:sz w:val="24"/>
          <w:szCs w:val="24"/>
        </w:rPr>
        <w:t xml:space="preserve">”) (NASDAQ: ELVA; TSX: ELVA), </w:t>
      </w:r>
      <w:r>
        <w:rPr>
          <w:rFonts w:ascii="Times New Roman" w:hAnsi="Times New Roman" w:eastAsia="Times New Roman" w:cs="Times New Roman"/>
          <w:sz w:val="24"/>
          <w:szCs w:val="24"/>
          <w:highlight w:val="white"/>
        </w:rPr>
        <w:t>a leading lithium-ion battery technology and manufacturing company,</w:t>
      </w:r>
      <w:r>
        <w:rPr>
          <w:rFonts w:ascii="Times New Roman" w:hAnsi="Times New Roman" w:eastAsia="Times New Roman" w:cs="Times New Roman"/>
          <w:sz w:val="24"/>
          <w:szCs w:val="24"/>
        </w:rPr>
        <w:t xml:space="preserve"> has successfully closed its previously announced public offering (the “</w:t>
      </w:r>
      <w:r>
        <w:rPr>
          <w:rFonts w:ascii="Times New Roman" w:hAnsi="Times New Roman" w:eastAsia="Times New Roman" w:cs="Times New Roman"/>
          <w:b/>
          <w:bCs/>
          <w:sz w:val="24"/>
          <w:szCs w:val="24"/>
        </w:rPr>
        <w:t>Offering</w:t>
      </w:r>
      <w:r>
        <w:rPr>
          <w:rFonts w:ascii="Times New Roman" w:hAnsi="Times New Roman" w:eastAsia="Times New Roman" w:cs="Times New Roman"/>
          <w:sz w:val="24"/>
          <w:szCs w:val="24"/>
        </w:rPr>
        <w:t>”) of 5,175,000 common shares in the capital of the Company (the “</w:t>
      </w:r>
      <w:r>
        <w:rPr>
          <w:rFonts w:ascii="Times New Roman" w:hAnsi="Times New Roman" w:eastAsia="Times New Roman" w:cs="Times New Roman"/>
          <w:b/>
          <w:bCs/>
          <w:sz w:val="24"/>
          <w:szCs w:val="24"/>
        </w:rPr>
        <w:t>Common Shares</w:t>
      </w:r>
      <w:r>
        <w:rPr>
          <w:rFonts w:ascii="Times New Roman" w:hAnsi="Times New Roman" w:eastAsia="Times New Roman" w:cs="Times New Roman"/>
          <w:sz w:val="24"/>
          <w:szCs w:val="24"/>
        </w:rPr>
        <w:t xml:space="preserve">”) at a price to the public of </w:t>
      </w:r>
      <w:proofErr w:type="spellStart"/>
      <w:r>
        <w:rPr>
          <w:rFonts w:ascii="Times New Roman" w:hAnsi="Times New Roman" w:eastAsia="Times New Roman" w:cs="Times New Roman"/>
          <w:sz w:val="24"/>
          <w:szCs w:val="24"/>
        </w:rPr>
        <w:t>US$2.15</w:t>
      </w:r>
      <w:proofErr w:type="spellEnd"/>
      <w:r>
        <w:rPr>
          <w:rFonts w:ascii="Times New Roman" w:hAnsi="Times New Roman" w:eastAsia="Times New Roman" w:cs="Times New Roman"/>
          <w:sz w:val="24"/>
          <w:szCs w:val="24"/>
        </w:rPr>
        <w:t xml:space="preserve"> per Common Share (the “</w:t>
      </w:r>
      <w:r w:rsidRPr="00E901F2">
        <w:rPr>
          <w:rFonts w:ascii="Times New Roman" w:hAnsi="Times New Roman" w:eastAsia="Times New Roman" w:cs="Times New Roman"/>
          <w:b/>
          <w:bCs/>
          <w:sz w:val="24"/>
          <w:szCs w:val="24"/>
        </w:rPr>
        <w:t>Offering Price</w:t>
      </w:r>
      <w:r>
        <w:rPr>
          <w:rFonts w:ascii="Times New Roman" w:hAnsi="Times New Roman" w:eastAsia="Times New Roman" w:cs="Times New Roman"/>
          <w:sz w:val="24"/>
          <w:szCs w:val="24"/>
        </w:rPr>
        <w:t xml:space="preserve">”) for gross proceeds of approximately </w:t>
      </w:r>
      <w:proofErr w:type="spellStart"/>
      <w:r>
        <w:rPr>
          <w:rFonts w:ascii="Times New Roman" w:hAnsi="Times New Roman" w:eastAsia="Times New Roman" w:cs="Times New Roman"/>
          <w:sz w:val="24"/>
          <w:szCs w:val="24"/>
        </w:rPr>
        <w:t>US$11.1</w:t>
      </w:r>
      <w:proofErr w:type="spellEnd"/>
      <w:r>
        <w:rPr>
          <w:rFonts w:ascii="Times New Roman" w:hAnsi="Times New Roman" w:eastAsia="Times New Roman" w:cs="Times New Roman"/>
          <w:sz w:val="24"/>
          <w:szCs w:val="24"/>
        </w:rPr>
        <w:t xml:space="preserve"> million, before deducting the underwriting discounts and commissions and estimated expenses incurred in connection with the Offering. </w:t>
      </w:r>
    </w:p>
    <w:p w:rsidR="00E901F2" w:rsidP="00E901F2" w:rsidRDefault="00E901F2" w14:paraId="49B4C2D5" w14:textId="77777777">
      <w:pPr>
        <w:spacing w:line="240" w:lineRule="auto"/>
        <w:jc w:val="both"/>
        <w:rPr>
          <w:rFonts w:ascii="Times New Roman" w:hAnsi="Times New Roman" w:eastAsia="Times New Roman" w:cs="Times New Roman"/>
          <w:sz w:val="24"/>
          <w:szCs w:val="24"/>
        </w:rPr>
      </w:pPr>
    </w:p>
    <w:p w:rsidRPr="00E901F2" w:rsidR="00E901F2" w:rsidP="00E901F2" w:rsidRDefault="00E901F2" w14:paraId="01A999F3" w14:textId="53B2FB12">
      <w:pPr>
        <w:spacing w:line="240" w:lineRule="auto"/>
        <w:jc w:val="both"/>
        <w:rPr>
          <w:rFonts w:ascii="Times New Roman" w:hAnsi="Times New Roman" w:eastAsia="Times New Roman" w:cs="Times New Roman"/>
          <w:sz w:val="24"/>
          <w:szCs w:val="24"/>
        </w:rPr>
      </w:pPr>
      <w:r w:rsidRPr="00E901F2">
        <w:rPr>
          <w:rFonts w:ascii="Times New Roman" w:hAnsi="Times New Roman" w:eastAsia="Times New Roman" w:cs="Times New Roman"/>
          <w:sz w:val="24"/>
          <w:szCs w:val="24"/>
        </w:rPr>
        <w:t>Roth Capital Partners (“</w:t>
      </w:r>
      <w:r w:rsidRPr="00E901F2">
        <w:rPr>
          <w:rFonts w:ascii="Times New Roman" w:hAnsi="Times New Roman" w:eastAsia="Times New Roman" w:cs="Times New Roman"/>
          <w:b/>
          <w:bCs/>
          <w:sz w:val="24"/>
          <w:szCs w:val="24"/>
        </w:rPr>
        <w:t>Roth</w:t>
      </w:r>
      <w:r w:rsidRPr="00E901F2">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acted</w:t>
      </w:r>
      <w:r w:rsidRPr="00E901F2">
        <w:rPr>
          <w:rFonts w:ascii="Times New Roman" w:hAnsi="Times New Roman" w:eastAsia="Times New Roman" w:cs="Times New Roman"/>
          <w:sz w:val="24"/>
          <w:szCs w:val="24"/>
        </w:rPr>
        <w:t xml:space="preserve"> as sole book-running manager, </w:t>
      </w:r>
      <w:r>
        <w:rPr>
          <w:rFonts w:ascii="Times New Roman" w:hAnsi="Times New Roman" w:eastAsia="Times New Roman" w:cs="Times New Roman"/>
          <w:sz w:val="24"/>
          <w:szCs w:val="24"/>
        </w:rPr>
        <w:t xml:space="preserve">and </w:t>
      </w:r>
      <w:r w:rsidRPr="00E901F2">
        <w:rPr>
          <w:rFonts w:ascii="Times New Roman" w:hAnsi="Times New Roman" w:eastAsia="Times New Roman" w:cs="Times New Roman"/>
          <w:sz w:val="24"/>
          <w:szCs w:val="24"/>
        </w:rPr>
        <w:t>Raymond James Ltd. and Craig-Hallum Capital Group LLC act</w:t>
      </w:r>
      <w:r>
        <w:rPr>
          <w:rFonts w:ascii="Times New Roman" w:hAnsi="Times New Roman" w:eastAsia="Times New Roman" w:cs="Times New Roman"/>
          <w:sz w:val="24"/>
          <w:szCs w:val="24"/>
        </w:rPr>
        <w:t>ed</w:t>
      </w:r>
      <w:r w:rsidRPr="00E901F2">
        <w:rPr>
          <w:rFonts w:ascii="Times New Roman" w:hAnsi="Times New Roman" w:eastAsia="Times New Roman" w:cs="Times New Roman"/>
          <w:sz w:val="24"/>
          <w:szCs w:val="24"/>
        </w:rPr>
        <w:t xml:space="preserve"> as the co-lead book-running managers </w:t>
      </w:r>
      <w:r>
        <w:rPr>
          <w:rFonts w:ascii="Times New Roman" w:hAnsi="Times New Roman" w:eastAsia="Times New Roman" w:cs="Times New Roman"/>
          <w:sz w:val="24"/>
          <w:szCs w:val="24"/>
        </w:rPr>
        <w:t>in</w:t>
      </w:r>
      <w:r w:rsidRPr="00E901F2">
        <w:rPr>
          <w:rFonts w:ascii="Times New Roman" w:hAnsi="Times New Roman" w:eastAsia="Times New Roman" w:cs="Times New Roman"/>
          <w:sz w:val="24"/>
          <w:szCs w:val="24"/>
        </w:rPr>
        <w:t xml:space="preserve"> the Offering.</w:t>
      </w:r>
    </w:p>
    <w:p w:rsidRPr="00E901F2" w:rsidR="00E901F2" w:rsidP="00E901F2" w:rsidRDefault="00E901F2" w14:paraId="6283C363" w14:textId="77777777">
      <w:pPr>
        <w:spacing w:line="240" w:lineRule="auto"/>
        <w:jc w:val="both"/>
        <w:rPr>
          <w:rFonts w:ascii="Times New Roman" w:hAnsi="Times New Roman" w:eastAsia="Times New Roman" w:cs="Times New Roman"/>
          <w:sz w:val="24"/>
          <w:szCs w:val="24"/>
        </w:rPr>
      </w:pPr>
    </w:p>
    <w:p w:rsidRPr="00B55FB5" w:rsidR="00E901F2" w:rsidP="00E901F2" w:rsidRDefault="00E901F2" w14:paraId="327A7976" w14:textId="0D6CA7FA">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w:t>
      </w:r>
      <w:r w:rsidRPr="00E901F2">
        <w:rPr>
          <w:rFonts w:ascii="Times New Roman" w:hAnsi="Times New Roman" w:eastAsia="Times New Roman" w:cs="Times New Roman"/>
          <w:sz w:val="24"/>
          <w:szCs w:val="24"/>
        </w:rPr>
        <w:t xml:space="preserve">he Company has granted Roth a 45-day over-allotment option to purchase up to an additional 776,250 Common Shares at the </w:t>
      </w:r>
      <w:r>
        <w:rPr>
          <w:rFonts w:ascii="Times New Roman" w:hAnsi="Times New Roman" w:eastAsia="Times New Roman" w:cs="Times New Roman"/>
          <w:sz w:val="24"/>
          <w:szCs w:val="24"/>
        </w:rPr>
        <w:t>O</w:t>
      </w:r>
      <w:r w:rsidRPr="00E901F2">
        <w:rPr>
          <w:rFonts w:ascii="Times New Roman" w:hAnsi="Times New Roman" w:eastAsia="Times New Roman" w:cs="Times New Roman"/>
          <w:sz w:val="24"/>
          <w:szCs w:val="24"/>
        </w:rPr>
        <w:t xml:space="preserve">ffering </w:t>
      </w:r>
      <w:r>
        <w:rPr>
          <w:rFonts w:ascii="Times New Roman" w:hAnsi="Times New Roman" w:eastAsia="Times New Roman" w:cs="Times New Roman"/>
          <w:sz w:val="24"/>
          <w:szCs w:val="24"/>
        </w:rPr>
        <w:t>P</w:t>
      </w:r>
      <w:r w:rsidRPr="00E901F2">
        <w:rPr>
          <w:rFonts w:ascii="Times New Roman" w:hAnsi="Times New Roman" w:eastAsia="Times New Roman" w:cs="Times New Roman"/>
          <w:sz w:val="24"/>
          <w:szCs w:val="24"/>
        </w:rPr>
        <w:t>rice, less underwriting discounts and commissions.</w:t>
      </w:r>
    </w:p>
    <w:p w:rsidR="00E901F2" w:rsidP="00E901F2" w:rsidRDefault="00E901F2" w14:paraId="02F409A2" w14:textId="77777777">
      <w:pPr>
        <w:spacing w:line="240" w:lineRule="auto"/>
        <w:jc w:val="both"/>
        <w:rPr>
          <w:rFonts w:ascii="Times New Roman" w:hAnsi="Times New Roman" w:eastAsia="Times New Roman" w:cs="Times New Roman"/>
          <w:sz w:val="24"/>
          <w:szCs w:val="24"/>
        </w:rPr>
      </w:pPr>
    </w:p>
    <w:p w:rsidR="00E901F2" w:rsidP="00E901F2" w:rsidRDefault="000828D5" w14:paraId="67223FED" w14:textId="39A430A2">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w:t>
      </w:r>
      <w:r w:rsidR="00E901F2">
        <w:rPr>
          <w:rFonts w:ascii="Times New Roman" w:hAnsi="Times New Roman" w:eastAsia="Times New Roman" w:cs="Times New Roman"/>
          <w:sz w:val="24"/>
          <w:szCs w:val="24"/>
        </w:rPr>
        <w:t xml:space="preserve">he Company intends to use the net proceeds from the Offering to satisfy conditions </w:t>
      </w:r>
      <w:r>
        <w:rPr>
          <w:rFonts w:ascii="Times New Roman" w:hAnsi="Times New Roman" w:eastAsia="Times New Roman" w:cs="Times New Roman"/>
          <w:sz w:val="24"/>
          <w:szCs w:val="24"/>
        </w:rPr>
        <w:t xml:space="preserve">associated with </w:t>
      </w:r>
      <w:r w:rsidR="00E901F2">
        <w:rPr>
          <w:rFonts w:ascii="Times New Roman" w:hAnsi="Times New Roman" w:eastAsia="Times New Roman" w:cs="Times New Roman"/>
          <w:sz w:val="24"/>
          <w:szCs w:val="24"/>
        </w:rPr>
        <w:t>the loan</w:t>
      </w:r>
      <w:r w:rsidRPr="004B6A91" w:rsidR="00E901F2">
        <w:rPr>
          <w:rFonts w:ascii="Times New Roman" w:hAnsi="Times New Roman" w:eastAsia="Times New Roman" w:cs="Times New Roman"/>
          <w:sz w:val="24"/>
          <w:szCs w:val="24"/>
        </w:rPr>
        <w:t xml:space="preserve"> </w:t>
      </w:r>
      <w:r w:rsidR="00E901F2">
        <w:rPr>
          <w:rFonts w:ascii="Times New Roman" w:hAnsi="Times New Roman" w:eastAsia="Times New Roman" w:cs="Times New Roman"/>
          <w:sz w:val="24"/>
          <w:szCs w:val="24"/>
        </w:rPr>
        <w:t xml:space="preserve">approved by the Export-Import Bank of the United States announced by the Company on November 14, 2024, </w:t>
      </w:r>
      <w:r w:rsidRPr="004B6A91" w:rsidR="00E901F2">
        <w:rPr>
          <w:rFonts w:ascii="Times New Roman" w:hAnsi="Times New Roman" w:eastAsia="Times New Roman" w:cs="Times New Roman"/>
          <w:sz w:val="24"/>
          <w:szCs w:val="24"/>
        </w:rPr>
        <w:t xml:space="preserve">repayment of </w:t>
      </w:r>
      <w:r w:rsidR="00E901F2">
        <w:rPr>
          <w:rFonts w:ascii="Times New Roman" w:hAnsi="Times New Roman" w:eastAsia="Times New Roman" w:cs="Times New Roman"/>
          <w:sz w:val="24"/>
          <w:szCs w:val="24"/>
        </w:rPr>
        <w:t xml:space="preserve">amounts under the Company’s existing </w:t>
      </w:r>
      <w:r w:rsidRPr="004B6A91" w:rsidR="00E901F2">
        <w:rPr>
          <w:rFonts w:ascii="Times New Roman" w:hAnsi="Times New Roman" w:eastAsia="Times New Roman" w:cs="Times New Roman"/>
          <w:sz w:val="24"/>
          <w:szCs w:val="24"/>
        </w:rPr>
        <w:t>working capital facilit</w:t>
      </w:r>
      <w:r w:rsidR="00E901F2">
        <w:rPr>
          <w:rFonts w:ascii="Times New Roman" w:hAnsi="Times New Roman" w:eastAsia="Times New Roman" w:cs="Times New Roman"/>
          <w:sz w:val="24"/>
          <w:szCs w:val="24"/>
        </w:rPr>
        <w:t>y in advance of proposed</w:t>
      </w:r>
      <w:r w:rsidRPr="004B6A91" w:rsidR="00E901F2">
        <w:rPr>
          <w:rFonts w:ascii="Times New Roman" w:hAnsi="Times New Roman" w:eastAsia="Times New Roman" w:cs="Times New Roman"/>
          <w:sz w:val="24"/>
          <w:szCs w:val="24"/>
        </w:rPr>
        <w:t xml:space="preserve"> bank refinancing </w:t>
      </w:r>
      <w:r w:rsidR="00E901F2">
        <w:rPr>
          <w:rFonts w:ascii="Times New Roman" w:hAnsi="Times New Roman" w:eastAsia="Times New Roman" w:cs="Times New Roman"/>
          <w:sz w:val="24"/>
          <w:szCs w:val="24"/>
        </w:rPr>
        <w:t>and for the costs of such financing, and satisfaction of certain outstanding amounts in connection with the purchase of the Company’s Jamestown, New York manufacturing facility.</w:t>
      </w:r>
    </w:p>
    <w:p w:rsidR="00E901F2" w:rsidP="00E901F2" w:rsidRDefault="00E901F2" w14:paraId="27FB4A28" w14:textId="77777777">
      <w:pPr>
        <w:spacing w:line="240" w:lineRule="auto"/>
        <w:jc w:val="both"/>
        <w:rPr>
          <w:rFonts w:ascii="Times New Roman" w:hAnsi="Times New Roman" w:eastAsia="Times New Roman" w:cs="Times New Roman"/>
          <w:sz w:val="24"/>
          <w:szCs w:val="24"/>
        </w:rPr>
      </w:pPr>
    </w:p>
    <w:p w:rsidR="00E901F2" w:rsidP="00E901F2" w:rsidRDefault="00E901F2" w14:paraId="02BC85BE" w14:textId="2E95A2CF">
      <w:pPr>
        <w:spacing w:line="240" w:lineRule="auto"/>
        <w:jc w:val="both"/>
        <w:rPr>
          <w:rFonts w:ascii="Times New Roman" w:hAnsi="Times New Roman" w:eastAsia="Times New Roman" w:cs="Times New Roman"/>
          <w:sz w:val="24"/>
          <w:szCs w:val="24"/>
        </w:rPr>
      </w:pPr>
      <w:r w:rsidRPr="008933F8">
        <w:rPr>
          <w:rFonts w:ascii="Times New Roman" w:hAnsi="Times New Roman" w:eastAsia="Times New Roman" w:cs="Times New Roman"/>
          <w:sz w:val="24"/>
          <w:szCs w:val="24"/>
        </w:rPr>
        <w:t xml:space="preserve">The </w:t>
      </w:r>
      <w:r w:rsidR="000828D5">
        <w:rPr>
          <w:rFonts w:ascii="Times New Roman" w:hAnsi="Times New Roman" w:eastAsia="Times New Roman" w:cs="Times New Roman"/>
          <w:sz w:val="24"/>
          <w:szCs w:val="24"/>
        </w:rPr>
        <w:t>Common S</w:t>
      </w:r>
      <w:r w:rsidRPr="008933F8">
        <w:rPr>
          <w:rFonts w:ascii="Times New Roman" w:hAnsi="Times New Roman" w:eastAsia="Times New Roman" w:cs="Times New Roman"/>
          <w:sz w:val="24"/>
          <w:szCs w:val="24"/>
        </w:rPr>
        <w:t xml:space="preserve">hares </w:t>
      </w:r>
      <w:r>
        <w:rPr>
          <w:rFonts w:ascii="Times New Roman" w:hAnsi="Times New Roman" w:eastAsia="Times New Roman" w:cs="Times New Roman"/>
          <w:sz w:val="24"/>
          <w:szCs w:val="24"/>
        </w:rPr>
        <w:t>were</w:t>
      </w:r>
      <w:r w:rsidRPr="008933F8">
        <w:rPr>
          <w:rFonts w:ascii="Times New Roman" w:hAnsi="Times New Roman" w:eastAsia="Times New Roman" w:cs="Times New Roman"/>
          <w:sz w:val="24"/>
          <w:szCs w:val="24"/>
        </w:rPr>
        <w:t xml:space="preserve"> offered</w:t>
      </w:r>
      <w:r>
        <w:rPr>
          <w:rFonts w:ascii="Times New Roman" w:hAnsi="Times New Roman" w:eastAsia="Times New Roman" w:cs="Times New Roman"/>
          <w:sz w:val="24"/>
          <w:szCs w:val="24"/>
        </w:rPr>
        <w:t xml:space="preserve"> in the United States</w:t>
      </w:r>
      <w:r w:rsidRPr="008933F8">
        <w:rPr>
          <w:rFonts w:ascii="Times New Roman" w:hAnsi="Times New Roman" w:eastAsia="Times New Roman" w:cs="Times New Roman"/>
          <w:sz w:val="24"/>
          <w:szCs w:val="24"/>
        </w:rPr>
        <w:t xml:space="preserve"> pursuant to a shelf registration statement (including a prospectus</w:t>
      </w:r>
      <w:r>
        <w:rPr>
          <w:rFonts w:ascii="Times New Roman" w:hAnsi="Times New Roman" w:eastAsia="Times New Roman" w:cs="Times New Roman"/>
          <w:sz w:val="24"/>
          <w:szCs w:val="24"/>
        </w:rPr>
        <w:t xml:space="preserve"> supplement thereto</w:t>
      </w:r>
      <w:r w:rsidRPr="008933F8">
        <w:rPr>
          <w:rFonts w:ascii="Times New Roman" w:hAnsi="Times New Roman" w:eastAsia="Times New Roman" w:cs="Times New Roman"/>
          <w:sz w:val="24"/>
          <w:szCs w:val="24"/>
        </w:rPr>
        <w:t>) previously filed with and declared effective by the Securities and Exchange Commission (the “</w:t>
      </w:r>
      <w:r w:rsidRPr="004B6A91">
        <w:rPr>
          <w:rFonts w:ascii="Times New Roman" w:hAnsi="Times New Roman" w:eastAsia="Times New Roman" w:cs="Times New Roman"/>
          <w:b/>
          <w:bCs/>
          <w:sz w:val="24"/>
          <w:szCs w:val="24"/>
        </w:rPr>
        <w:t>SEC</w:t>
      </w:r>
      <w:r w:rsidRPr="008933F8">
        <w:rPr>
          <w:rFonts w:ascii="Times New Roman" w:hAnsi="Times New Roman" w:eastAsia="Times New Roman" w:cs="Times New Roman"/>
          <w:sz w:val="24"/>
          <w:szCs w:val="24"/>
        </w:rPr>
        <w:t>”) on September 25, 2024</w:t>
      </w:r>
      <w:r>
        <w:rPr>
          <w:rFonts w:ascii="Times New Roman" w:hAnsi="Times New Roman" w:eastAsia="Times New Roman" w:cs="Times New Roman"/>
          <w:sz w:val="24"/>
          <w:szCs w:val="24"/>
        </w:rPr>
        <w:t xml:space="preserve"> </w:t>
      </w:r>
      <w:r w:rsidRPr="003A6EA7">
        <w:rPr>
          <w:rFonts w:ascii="Times New Roman" w:hAnsi="Times New Roman" w:eastAsia="Times New Roman" w:cs="Times New Roman"/>
          <w:sz w:val="24"/>
          <w:szCs w:val="24"/>
        </w:rPr>
        <w:t>in accordance with the Multijurisdictional Disclosure System established between Canada and the United States</w:t>
      </w:r>
      <w:r w:rsidRPr="008933F8">
        <w:rPr>
          <w:rFonts w:ascii="Times New Roman" w:hAnsi="Times New Roman" w:eastAsia="Times New Roman" w:cs="Times New Roman"/>
          <w:sz w:val="24"/>
          <w:szCs w:val="24"/>
        </w:rPr>
        <w:t xml:space="preserve">, and </w:t>
      </w:r>
      <w:r>
        <w:rPr>
          <w:rFonts w:ascii="Times New Roman" w:hAnsi="Times New Roman" w:eastAsia="Times New Roman" w:cs="Times New Roman"/>
          <w:sz w:val="24"/>
          <w:szCs w:val="24"/>
        </w:rPr>
        <w:t>were</w:t>
      </w:r>
      <w:r w:rsidRPr="008933F8">
        <w:rPr>
          <w:rFonts w:ascii="Times New Roman" w:hAnsi="Times New Roman" w:eastAsia="Times New Roman" w:cs="Times New Roman"/>
          <w:sz w:val="24"/>
          <w:szCs w:val="24"/>
        </w:rPr>
        <w:t xml:space="preserve"> qualified for distribution </w:t>
      </w:r>
      <w:r>
        <w:rPr>
          <w:rFonts w:ascii="Times New Roman" w:hAnsi="Times New Roman" w:eastAsia="Times New Roman" w:cs="Times New Roman"/>
          <w:sz w:val="24"/>
          <w:szCs w:val="24"/>
        </w:rPr>
        <w:t xml:space="preserve">in the provinces and territories of Canada </w:t>
      </w:r>
      <w:r w:rsidRPr="008933F8">
        <w:rPr>
          <w:rFonts w:ascii="Times New Roman" w:hAnsi="Times New Roman" w:eastAsia="Times New Roman" w:cs="Times New Roman"/>
          <w:sz w:val="24"/>
          <w:szCs w:val="24"/>
        </w:rPr>
        <w:t>by way of a prospectus supplement to the Company’s base shelf prospectus dated September 17, 2024</w:t>
      </w:r>
      <w:r>
        <w:rPr>
          <w:rFonts w:ascii="Times New Roman" w:hAnsi="Times New Roman" w:eastAsia="Times New Roman" w:cs="Times New Roman"/>
          <w:sz w:val="24"/>
          <w:szCs w:val="24"/>
        </w:rPr>
        <w:t>. No securities were sold in the Province of Québec</w:t>
      </w:r>
      <w:r w:rsidRPr="008933F8">
        <w:rPr>
          <w:rFonts w:ascii="Times New Roman" w:hAnsi="Times New Roman" w:eastAsia="Times New Roman" w:cs="Times New Roman"/>
          <w:sz w:val="24"/>
          <w:szCs w:val="24"/>
        </w:rPr>
        <w:t xml:space="preserve">. </w:t>
      </w:r>
    </w:p>
    <w:p w:rsidRPr="00031A0E" w:rsidR="00E901F2" w:rsidP="00E901F2" w:rsidRDefault="00E901F2" w14:paraId="15636B25" w14:textId="77777777">
      <w:pPr>
        <w:spacing w:line="240" w:lineRule="auto"/>
        <w:jc w:val="both"/>
        <w:rPr>
          <w:rFonts w:ascii="Times New Roman" w:hAnsi="Times New Roman" w:eastAsia="Times New Roman" w:cs="Times New Roman"/>
          <w:sz w:val="24"/>
          <w:szCs w:val="24"/>
        </w:rPr>
      </w:pPr>
    </w:p>
    <w:p w:rsidR="00E901F2" w:rsidP="00E901F2" w:rsidRDefault="00E901F2" w14:paraId="221228DC" w14:textId="7641F67E">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w:t>
      </w:r>
      <w:r w:rsidRPr="008933F8">
        <w:rPr>
          <w:rFonts w:ascii="Times New Roman" w:hAnsi="Times New Roman" w:eastAsia="Times New Roman" w:cs="Times New Roman"/>
          <w:sz w:val="24"/>
          <w:szCs w:val="24"/>
        </w:rPr>
        <w:t xml:space="preserve"> prospectus supplement</w:t>
      </w:r>
      <w:r>
        <w:rPr>
          <w:rFonts w:ascii="Times New Roman" w:hAnsi="Times New Roman" w:eastAsia="Times New Roman" w:cs="Times New Roman"/>
          <w:sz w:val="24"/>
          <w:szCs w:val="24"/>
        </w:rPr>
        <w:t xml:space="preserve"> </w:t>
      </w:r>
      <w:r w:rsidRPr="008933F8">
        <w:rPr>
          <w:rFonts w:ascii="Times New Roman" w:hAnsi="Times New Roman" w:eastAsia="Times New Roman" w:cs="Times New Roman"/>
          <w:sz w:val="24"/>
          <w:szCs w:val="24"/>
        </w:rPr>
        <w:t xml:space="preserve">and accompanying </w:t>
      </w:r>
      <w:r>
        <w:rPr>
          <w:rFonts w:ascii="Times New Roman" w:hAnsi="Times New Roman" w:eastAsia="Times New Roman" w:cs="Times New Roman"/>
          <w:sz w:val="24"/>
          <w:szCs w:val="24"/>
        </w:rPr>
        <w:t xml:space="preserve">shelf registration are </w:t>
      </w:r>
      <w:r w:rsidRPr="008933F8">
        <w:rPr>
          <w:rFonts w:ascii="Times New Roman" w:hAnsi="Times New Roman" w:eastAsia="Times New Roman" w:cs="Times New Roman"/>
          <w:sz w:val="24"/>
          <w:szCs w:val="24"/>
        </w:rPr>
        <w:t>available for free on the SEC’s website at www.sec.gov and</w:t>
      </w:r>
      <w:r>
        <w:rPr>
          <w:rFonts w:ascii="Times New Roman" w:hAnsi="Times New Roman" w:eastAsia="Times New Roman" w:cs="Times New Roman"/>
          <w:sz w:val="24"/>
          <w:szCs w:val="24"/>
        </w:rPr>
        <w:t xml:space="preserve"> the prospectus supplement and accompanying base shelf prospectus filed in Canada</w:t>
      </w:r>
      <w:r w:rsidRPr="008933F8">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are</w:t>
      </w:r>
      <w:r w:rsidRPr="008933F8">
        <w:rPr>
          <w:rFonts w:ascii="Times New Roman" w:hAnsi="Times New Roman" w:eastAsia="Times New Roman" w:cs="Times New Roman"/>
          <w:sz w:val="24"/>
          <w:szCs w:val="24"/>
        </w:rPr>
        <w:t xml:space="preserve"> available on the Company’s profile on the SEDAR</w:t>
      </w:r>
      <w:r>
        <w:rPr>
          <w:rFonts w:ascii="Times New Roman" w:hAnsi="Times New Roman" w:eastAsia="Times New Roman" w:cs="Times New Roman"/>
          <w:sz w:val="24"/>
          <w:szCs w:val="24"/>
        </w:rPr>
        <w:t>+</w:t>
      </w:r>
      <w:r w:rsidRPr="008933F8">
        <w:rPr>
          <w:rFonts w:ascii="Times New Roman" w:hAnsi="Times New Roman" w:eastAsia="Times New Roman" w:cs="Times New Roman"/>
          <w:sz w:val="24"/>
          <w:szCs w:val="24"/>
        </w:rPr>
        <w:t xml:space="preserve"> website at www.</w:t>
      </w:r>
      <w:r>
        <w:rPr>
          <w:rFonts w:ascii="Times New Roman" w:hAnsi="Times New Roman" w:eastAsia="Times New Roman" w:cs="Times New Roman"/>
          <w:sz w:val="24"/>
          <w:szCs w:val="24"/>
        </w:rPr>
        <w:t>sedarplus.ca</w:t>
      </w:r>
      <w:r w:rsidRPr="008933F8">
        <w:rPr>
          <w:rFonts w:ascii="Times New Roman" w:hAnsi="Times New Roman" w:eastAsia="Times New Roman" w:cs="Times New Roman"/>
          <w:sz w:val="24"/>
          <w:szCs w:val="24"/>
        </w:rPr>
        <w:t xml:space="preserve">. Copies of the prospectus supplement and accompanying prospectus relating to the </w:t>
      </w:r>
      <w:r>
        <w:rPr>
          <w:rFonts w:ascii="Times New Roman" w:hAnsi="Times New Roman" w:eastAsia="Times New Roman" w:cs="Times New Roman"/>
          <w:sz w:val="24"/>
          <w:szCs w:val="24"/>
        </w:rPr>
        <w:t>O</w:t>
      </w:r>
      <w:r w:rsidRPr="008933F8">
        <w:rPr>
          <w:rFonts w:ascii="Times New Roman" w:hAnsi="Times New Roman" w:eastAsia="Times New Roman" w:cs="Times New Roman"/>
          <w:sz w:val="24"/>
          <w:szCs w:val="24"/>
        </w:rPr>
        <w:t>ffering</w:t>
      </w:r>
      <w:r>
        <w:rPr>
          <w:rFonts w:ascii="Times New Roman" w:hAnsi="Times New Roman" w:eastAsia="Times New Roman" w:cs="Times New Roman"/>
          <w:sz w:val="24"/>
          <w:szCs w:val="24"/>
        </w:rPr>
        <w:t xml:space="preserve"> </w:t>
      </w:r>
      <w:r w:rsidRPr="008933F8">
        <w:rPr>
          <w:rFonts w:ascii="Times New Roman" w:hAnsi="Times New Roman" w:eastAsia="Times New Roman" w:cs="Times New Roman"/>
          <w:sz w:val="24"/>
          <w:szCs w:val="24"/>
        </w:rPr>
        <w:t>may also be obtained by contacting Roth Capital Partners, LLC at 888 San Clemente Drive, Newport Beach CA 92660 by phone at (800)</w:t>
      </w:r>
      <w:r>
        <w:rPr>
          <w:rFonts w:ascii="Times New Roman" w:hAnsi="Times New Roman" w:eastAsia="Times New Roman" w:cs="Times New Roman"/>
          <w:sz w:val="24"/>
          <w:szCs w:val="24"/>
        </w:rPr>
        <w:t>-</w:t>
      </w:r>
      <w:r w:rsidRPr="008933F8">
        <w:rPr>
          <w:rFonts w:ascii="Times New Roman" w:hAnsi="Times New Roman" w:eastAsia="Times New Roman" w:cs="Times New Roman"/>
          <w:sz w:val="24"/>
          <w:szCs w:val="24"/>
        </w:rPr>
        <w:t xml:space="preserve">678-9147 or e-mail at </w:t>
      </w:r>
      <w:hyperlink w:history="1" r:id="rId8">
        <w:r w:rsidRPr="008933F8">
          <w:rPr>
            <w:rStyle w:val="Hyperlink"/>
            <w:rFonts w:ascii="Times New Roman" w:hAnsi="Times New Roman" w:eastAsia="Times New Roman" w:cs="Times New Roman"/>
            <w:color w:val="auto"/>
            <w:sz w:val="24"/>
            <w:szCs w:val="24"/>
            <w:u w:val="none"/>
          </w:rPr>
          <w:t>rothecm@roth.com</w:t>
        </w:r>
      </w:hyperlink>
      <w:r w:rsidRPr="008933F8">
        <w:rPr>
          <w:rFonts w:ascii="Times New Roman" w:hAnsi="Times New Roman" w:eastAsia="Times New Roman" w:cs="Times New Roman"/>
          <w:sz w:val="24"/>
          <w:szCs w:val="24"/>
        </w:rPr>
        <w:t>.</w:t>
      </w:r>
      <w:r>
        <w:rPr>
          <w:rFonts w:ascii="Times New Roman" w:hAnsi="Times New Roman" w:eastAsia="Times New Roman" w:cs="Times New Roman"/>
          <w:sz w:val="24"/>
          <w:szCs w:val="24"/>
        </w:rPr>
        <w:t xml:space="preserve"> </w:t>
      </w:r>
    </w:p>
    <w:p w:rsidRPr="00031A0E" w:rsidR="00E901F2" w:rsidP="00E901F2" w:rsidRDefault="00E901F2" w14:paraId="2DB6562A" w14:textId="77777777">
      <w:pPr>
        <w:spacing w:line="240" w:lineRule="auto"/>
        <w:jc w:val="both"/>
        <w:rPr>
          <w:rFonts w:ascii="Times New Roman" w:hAnsi="Times New Roman" w:eastAsia="Times New Roman" w:cs="Times New Roman"/>
          <w:sz w:val="24"/>
          <w:szCs w:val="24"/>
        </w:rPr>
      </w:pPr>
    </w:p>
    <w:p w:rsidR="00E901F2" w:rsidP="00E901F2" w:rsidRDefault="00E901F2" w14:paraId="471465B8" w14:textId="77777777">
      <w:pPr>
        <w:spacing w:line="240" w:lineRule="auto"/>
        <w:jc w:val="both"/>
        <w:rPr>
          <w:rFonts w:ascii="Times New Roman" w:hAnsi="Times New Roman" w:eastAsia="Times New Roman" w:cs="Times New Roman"/>
          <w:sz w:val="24"/>
          <w:szCs w:val="24"/>
        </w:rPr>
      </w:pPr>
      <w:r w:rsidRPr="00031A0E">
        <w:rPr>
          <w:rFonts w:ascii="Times New Roman" w:hAnsi="Times New Roman" w:eastAsia="Times New Roman" w:cs="Times New Roman"/>
          <w:sz w:val="24"/>
          <w:szCs w:val="24"/>
        </w:rPr>
        <w:t xml:space="preserve">This news release shall not constitute an offer to sell or the solicitation of an offer to buy, nor shall there be any sale of these securities in any province, state or jurisdiction in which such offer, </w:t>
      </w:r>
      <w:r w:rsidRPr="00031A0E">
        <w:rPr>
          <w:rFonts w:ascii="Times New Roman" w:hAnsi="Times New Roman" w:eastAsia="Times New Roman" w:cs="Times New Roman"/>
          <w:sz w:val="24"/>
          <w:szCs w:val="24"/>
        </w:rPr>
        <w:lastRenderedPageBreak/>
        <w:t>solicitation or sale would be unlawful prior to the registration or qualification under the securities laws of any such province, state or jurisdiction.</w:t>
      </w:r>
      <w:bookmarkStart w:name="_w3jhk6cwu3yd" w:colFirst="0" w:colLast="0" w:id="1"/>
      <w:bookmarkStart w:name="_76j354p8nooc" w:colFirst="0" w:colLast="0" w:id="2"/>
      <w:bookmarkEnd w:id="1"/>
      <w:bookmarkEnd w:id="2"/>
    </w:p>
    <w:p w:rsidRPr="00417FBE" w:rsidR="00E901F2" w:rsidP="00E901F2" w:rsidRDefault="00E901F2" w14:paraId="748F2339" w14:textId="77777777">
      <w:pPr>
        <w:spacing w:line="240" w:lineRule="auto"/>
        <w:jc w:val="both"/>
        <w:rPr>
          <w:rFonts w:ascii="Times New Roman" w:hAnsi="Times New Roman" w:eastAsia="Times New Roman" w:cs="Times New Roman"/>
          <w:sz w:val="24"/>
          <w:szCs w:val="24"/>
        </w:rPr>
      </w:pPr>
    </w:p>
    <w:p w:rsidR="00E901F2" w:rsidP="00E901F2" w:rsidRDefault="00E901F2" w14:paraId="32474AAD" w14:textId="77777777">
      <w:pPr>
        <w:spacing w:after="200"/>
        <w:rPr>
          <w:rFonts w:ascii="Times New Roman" w:hAnsi="Times New Roman" w:eastAsia="Times New Roman" w:cs="Times New Roman"/>
          <w:sz w:val="24"/>
          <w:szCs w:val="24"/>
        </w:rPr>
      </w:pPr>
      <w:r>
        <w:rPr>
          <w:rFonts w:ascii="Times New Roman" w:hAnsi="Times New Roman" w:eastAsia="Times New Roman" w:cs="Times New Roman"/>
          <w:b/>
          <w:sz w:val="24"/>
          <w:szCs w:val="24"/>
        </w:rPr>
        <w:t>Investor and Media Contact</w:t>
      </w:r>
      <w:r>
        <w:rPr>
          <w:rFonts w:ascii="Times New Roman" w:hAnsi="Times New Roman" w:eastAsia="Times New Roman" w:cs="Times New Roman"/>
          <w:sz w:val="24"/>
          <w:szCs w:val="24"/>
        </w:rPr>
        <w:t>: </w:t>
      </w:r>
    </w:p>
    <w:p w:rsidR="00E901F2" w:rsidP="00E901F2" w:rsidRDefault="00E901F2" w14:paraId="7408AA2F" w14:textId="77777777">
      <w:pPr>
        <w:keepLines/>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Jason Roy</w:t>
      </w:r>
    </w:p>
    <w:p w:rsidR="00E901F2" w:rsidP="00E901F2" w:rsidRDefault="00E901F2" w14:paraId="0B75B707" w14:textId="77777777">
      <w:pPr>
        <w:keepLines/>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VP, Corporate Development and Investor Relations</w:t>
      </w:r>
    </w:p>
    <w:p w:rsidR="00E901F2" w:rsidP="00E901F2" w:rsidRDefault="00E901F2" w14:paraId="3DFB3506" w14:textId="77777777">
      <w:pPr>
        <w:keepLines/>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Electrovaya Inc.</w:t>
      </w:r>
    </w:p>
    <w:p w:rsidRPr="00417FBE" w:rsidR="00E901F2" w:rsidP="00E901F2" w:rsidRDefault="00E901F2" w14:paraId="692E0AD5" w14:textId="77777777">
      <w:pPr>
        <w:keepLines/>
        <w:shd w:val="clear" w:color="auto" w:fill="FFFFFF"/>
        <w:jc w:val="both"/>
        <w:rPr>
          <w:rFonts w:ascii="Times New Roman" w:hAnsi="Times New Roman" w:eastAsia="Times New Roman" w:cs="Times New Roman"/>
          <w:b/>
          <w:color w:val="222222"/>
          <w:sz w:val="23"/>
          <w:szCs w:val="23"/>
        </w:rPr>
      </w:pPr>
      <w:r>
        <w:rPr>
          <w:rFonts w:ascii="Times New Roman" w:hAnsi="Times New Roman" w:eastAsia="Times New Roman" w:cs="Times New Roman"/>
          <w:sz w:val="24"/>
          <w:szCs w:val="24"/>
        </w:rPr>
        <w:t xml:space="preserve">905-855-4618 / </w:t>
      </w:r>
      <w:hyperlink r:id="rId9">
        <w:r>
          <w:rPr>
            <w:rFonts w:ascii="Times New Roman" w:hAnsi="Times New Roman" w:eastAsia="Times New Roman" w:cs="Times New Roman"/>
            <w:b/>
            <w:color w:val="3C78D8"/>
            <w:sz w:val="24"/>
            <w:szCs w:val="24"/>
            <w:u w:val="single"/>
          </w:rPr>
          <w:t>jroy@electrovaya.com</w:t>
        </w:r>
      </w:hyperlink>
    </w:p>
    <w:p w:rsidR="00E901F2" w:rsidP="00E901F2" w:rsidRDefault="00E901F2" w14:paraId="26627D8C" w14:textId="77777777">
      <w:pPr>
        <w:spacing w:before="240" w:after="240"/>
        <w:rPr>
          <w:rFonts w:ascii="Times New Roman" w:hAnsi="Times New Roman" w:eastAsia="Times New Roman" w:cs="Times New Roman"/>
          <w:sz w:val="24"/>
          <w:szCs w:val="24"/>
        </w:rPr>
      </w:pPr>
      <w:r>
        <w:rPr>
          <w:rFonts w:ascii="Times New Roman" w:hAnsi="Times New Roman" w:eastAsia="Times New Roman" w:cs="Times New Roman"/>
          <w:b/>
          <w:sz w:val="24"/>
          <w:szCs w:val="24"/>
        </w:rPr>
        <w:t>About Electrovaya Inc.</w:t>
      </w:r>
      <w:r>
        <w:rPr>
          <w:rFonts w:ascii="Times New Roman" w:hAnsi="Times New Roman" w:eastAsia="Times New Roman" w:cs="Times New Roman"/>
          <w:sz w:val="24"/>
          <w:szCs w:val="24"/>
        </w:rPr>
        <w:t xml:space="preserve"> </w:t>
      </w:r>
    </w:p>
    <w:p w:rsidR="00E901F2" w:rsidP="00E901F2" w:rsidRDefault="00E901F2" w14:paraId="2B773A7A" w14:textId="77777777">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Electrovaya Inc. (</w:t>
      </w:r>
      <w:proofErr w:type="spellStart"/>
      <w:r>
        <w:rPr>
          <w:rFonts w:ascii="Times New Roman" w:hAnsi="Times New Roman" w:eastAsia="Times New Roman" w:cs="Times New Roman"/>
          <w:sz w:val="24"/>
          <w:szCs w:val="24"/>
        </w:rPr>
        <w:t>NASDAQ:ELVA</w:t>
      </w:r>
      <w:proofErr w:type="spellEnd"/>
      <w:r>
        <w:rPr>
          <w:rFonts w:ascii="Times New Roman" w:hAnsi="Times New Roman" w:eastAsia="Times New Roman" w:cs="Times New Roman"/>
          <w:sz w:val="24"/>
          <w:szCs w:val="24"/>
        </w:rPr>
        <w:t>) (</w:t>
      </w:r>
      <w:proofErr w:type="spellStart"/>
      <w:r>
        <w:rPr>
          <w:rFonts w:ascii="Times New Roman" w:hAnsi="Times New Roman" w:eastAsia="Times New Roman" w:cs="Times New Roman"/>
          <w:sz w:val="24"/>
          <w:szCs w:val="24"/>
        </w:rPr>
        <w:t>TSX:ELVA</w:t>
      </w:r>
      <w:proofErr w:type="spellEnd"/>
      <w:r>
        <w:rPr>
          <w:rFonts w:ascii="Times New Roman" w:hAnsi="Times New Roman" w:eastAsia="Times New Roman" w:cs="Times New Roman"/>
          <w:sz w:val="24"/>
          <w:szCs w:val="24"/>
        </w:rPr>
        <w:t>) is a pioneering leader in the global energy transformation, focused on contributing to the prevention of climate change by supplying safe and long-lasting lithium-ion batteries without compromising energy and power. The Company has extensive IP and designs, develops and manufactures proprietary lithium-ion batteries, battery systems, and battery-related products for energy storage, clean electric transportation, and other specialized applications.</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 xml:space="preserve">Electrovaya has two operating sites in Canada and a 52-acre site with a 135,000 square foot manufacturing facility in Jamestown New York state for its planned gigafactory. To learn more about how Electrovaya is powering mobility and energy storage, please explore </w:t>
      </w:r>
      <w:hyperlink r:id="rId10">
        <w:r>
          <w:rPr>
            <w:rFonts w:ascii="Times New Roman" w:hAnsi="Times New Roman" w:eastAsia="Times New Roman" w:cs="Times New Roman"/>
            <w:sz w:val="24"/>
            <w:szCs w:val="24"/>
          </w:rPr>
          <w:t>www.electrovaya.com</w:t>
        </w:r>
      </w:hyperlink>
      <w:r>
        <w:rPr>
          <w:rFonts w:ascii="Times New Roman" w:hAnsi="Times New Roman" w:eastAsia="Times New Roman" w:cs="Times New Roman"/>
          <w:sz w:val="24"/>
          <w:szCs w:val="24"/>
        </w:rPr>
        <w:t xml:space="preserve">. </w:t>
      </w:r>
    </w:p>
    <w:p w:rsidR="00E901F2" w:rsidP="00E901F2" w:rsidRDefault="00E901F2" w14:paraId="180B3343" w14:textId="77777777">
      <w:pPr>
        <w:spacing w:before="240" w:after="240"/>
        <w:rPr>
          <w:rFonts w:ascii="Times New Roman" w:hAnsi="Times New Roman" w:eastAsia="Times New Roman" w:cs="Times New Roman"/>
        </w:rPr>
      </w:pPr>
      <w:r>
        <w:rPr>
          <w:rFonts w:ascii="Times New Roman" w:hAnsi="Times New Roman" w:eastAsia="Times New Roman" w:cs="Times New Roman"/>
          <w:b/>
        </w:rPr>
        <w:t>Forward-Looking Statements</w:t>
      </w:r>
      <w:r>
        <w:rPr>
          <w:rFonts w:ascii="Times New Roman" w:hAnsi="Times New Roman" w:eastAsia="Times New Roman" w:cs="Times New Roman"/>
        </w:rPr>
        <w:t xml:space="preserve"> </w:t>
      </w:r>
    </w:p>
    <w:p w:rsidRPr="003A6EA7" w:rsidR="00E901F2" w:rsidP="00E901F2" w:rsidRDefault="00E901F2" w14:paraId="00BA5C1F" w14:textId="0E2FF597">
      <w:pPr>
        <w:jc w:val="both"/>
        <w:rPr>
          <w:rFonts w:ascii="Times New Roman" w:hAnsi="Times New Roman" w:eastAsia="Times New Roman" w:cs="Times New Roman"/>
          <w:i/>
          <w:sz w:val="24"/>
          <w:szCs w:val="24"/>
        </w:rPr>
      </w:pPr>
      <w:r w:rsidRPr="00E901F2">
        <w:rPr>
          <w:rFonts w:ascii="Times New Roman" w:hAnsi="Times New Roman" w:eastAsia="Times New Roman" w:cs="Times New Roman"/>
          <w:i/>
          <w:sz w:val="24"/>
          <w:szCs w:val="24"/>
        </w:rPr>
        <w:t>This press release contains forward-looking statements, including statements regarding the anticipated use of proceeds from the Offering</w:t>
      </w:r>
      <w:r>
        <w:rPr>
          <w:rFonts w:ascii="Times New Roman" w:hAnsi="Times New Roman" w:eastAsia="Times New Roman" w:cs="Times New Roman"/>
          <w:i/>
          <w:sz w:val="24"/>
          <w:szCs w:val="24"/>
        </w:rPr>
        <w:t xml:space="preserve"> and the over-allotment</w:t>
      </w:r>
      <w:r w:rsidR="00F203C9">
        <w:rPr>
          <w:rFonts w:ascii="Times New Roman" w:hAnsi="Times New Roman" w:eastAsia="Times New Roman" w:cs="Times New Roman"/>
          <w:i/>
          <w:sz w:val="24"/>
          <w:szCs w:val="24"/>
        </w:rPr>
        <w:t xml:space="preserve"> option</w:t>
      </w:r>
      <w:r>
        <w:rPr>
          <w:rFonts w:ascii="Times New Roman" w:hAnsi="Times New Roman" w:eastAsia="Times New Roman" w:cs="Times New Roman"/>
          <w:i/>
          <w:sz w:val="24"/>
          <w:szCs w:val="24"/>
        </w:rPr>
        <w:t xml:space="preserve"> </w:t>
      </w:r>
      <w:r w:rsidR="00F203C9">
        <w:rPr>
          <w:rFonts w:ascii="Times New Roman" w:hAnsi="Times New Roman" w:eastAsia="Times New Roman" w:cs="Times New Roman"/>
          <w:i/>
          <w:sz w:val="24"/>
          <w:szCs w:val="24"/>
        </w:rPr>
        <w:t xml:space="preserve">granted </w:t>
      </w:r>
      <w:r>
        <w:rPr>
          <w:rFonts w:ascii="Times New Roman" w:hAnsi="Times New Roman" w:eastAsia="Times New Roman" w:cs="Times New Roman"/>
          <w:i/>
          <w:sz w:val="24"/>
          <w:szCs w:val="24"/>
        </w:rPr>
        <w:t>in connection with the Offering</w:t>
      </w:r>
      <w:r w:rsidRPr="00E901F2">
        <w:rPr>
          <w:rFonts w:ascii="Times New Roman" w:hAnsi="Times New Roman" w:eastAsia="Times New Roman" w:cs="Times New Roman"/>
          <w:i/>
          <w:sz w:val="24"/>
          <w:szCs w:val="24"/>
        </w:rPr>
        <w:t>. Forward-looking statements can generally, but not always, be identified by the use of words such as “may”, “will”, “could”, “should”, “would”, “likely”, "possible", “expect”, “intend”, “estimate”, “anticipate”, “believe”, “plan”, “objective” and “continue” (or the negative thereof) and words and expressions of similar import. Although the Company believes that the expectations reflected in such forward-looking statements are reasonable, such statements are necessarily based on assumptions, and involve risks and uncertainties, therefore undue reliance should not be placed on such statements. Material assumptions on which forward-looking statements in this news release include assumptions about the ability to complete a loan financing with EXIM</w:t>
      </w:r>
      <w:r>
        <w:rPr>
          <w:rFonts w:ascii="Times New Roman" w:hAnsi="Times New Roman" w:eastAsia="Times New Roman" w:cs="Times New Roman"/>
          <w:i/>
          <w:sz w:val="24"/>
          <w:szCs w:val="24"/>
        </w:rPr>
        <w:t xml:space="preserve"> and the market price of the Common Shares</w:t>
      </w:r>
      <w:r w:rsidRPr="00E901F2">
        <w:rPr>
          <w:rFonts w:ascii="Times New Roman" w:hAnsi="Times New Roman" w:eastAsia="Times New Roman" w:cs="Times New Roman"/>
          <w:i/>
          <w:sz w:val="24"/>
          <w:szCs w:val="24"/>
        </w:rPr>
        <w:t xml:space="preserve">. Material risks and other factors that could cause actual results to differ from any forward-looking statement </w:t>
      </w:r>
      <w:r>
        <w:rPr>
          <w:rFonts w:ascii="Times New Roman" w:hAnsi="Times New Roman" w:eastAsia="Times New Roman" w:cs="Times New Roman"/>
          <w:i/>
          <w:sz w:val="24"/>
          <w:szCs w:val="24"/>
        </w:rPr>
        <w:t xml:space="preserve">include </w:t>
      </w:r>
      <w:r w:rsidRPr="00E901F2">
        <w:rPr>
          <w:rFonts w:ascii="Times New Roman" w:hAnsi="Times New Roman" w:eastAsia="Times New Roman" w:cs="Times New Roman"/>
          <w:i/>
          <w:sz w:val="24"/>
          <w:szCs w:val="24"/>
        </w:rPr>
        <w:t>market conditions and other risks that may be found in the prospectus supplement and base shelf prospectus filed in connection with the Offering, including those risks described under the heading “Risk Factors”, and the documents incorporated by referenced therein. The Company does not undertake any obligation to update publicly or to revise any of the forward looking statements contained in this document, whether as a result of new information, future events or otherwise, except as required by law.</w:t>
      </w:r>
    </w:p>
    <w:sectPr w:rsidRPr="003A6EA7" w:rsidR="00E901F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22F8" w:rsidP="00FA22F8" w:rsidRDefault="00FA22F8" w14:paraId="6F455C45" w14:textId="77777777">
      <w:pPr>
        <w:spacing w:line="240" w:lineRule="auto"/>
      </w:pPr>
      <w:r>
        <w:separator/>
      </w:r>
    </w:p>
  </w:endnote>
  <w:endnote w:type="continuationSeparator" w:id="0">
    <w:p w:rsidR="00FA22F8" w:rsidP="00FA22F8" w:rsidRDefault="00FA22F8" w14:paraId="707FBBF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embedRegular r:id="rId1" w:fontKey="{6E042466-40ED-4FCB-A98D-FF0130A19DC1}"/>
  </w:font>
  <w:font w:name="Cambria">
    <w:panose1 w:val="02040503050406030204"/>
    <w:charset w:val="00"/>
    <w:family w:val="roman"/>
    <w:pitch w:val="variable"/>
    <w:sig w:usb0="E00006FF" w:usb1="420024FF" w:usb2="02000000" w:usb3="00000000" w:csb0="0000019F" w:csb1="00000000"/>
    <w:embedRegular r:id="rId2" w:fontKey="{C8540E50-E679-40B5-8980-F45E234699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22F8" w:rsidRDefault="00FA22F8" w14:paraId="385828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22F8" w:rsidRDefault="00FA22F8" w14:paraId="1D73FAC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22F8" w:rsidRDefault="00FA22F8" w14:paraId="5A18EB7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22F8" w:rsidP="00FA22F8" w:rsidRDefault="00FA22F8" w14:paraId="6A43F0C7" w14:textId="77777777">
      <w:pPr>
        <w:spacing w:line="240" w:lineRule="auto"/>
      </w:pPr>
      <w:r>
        <w:separator/>
      </w:r>
    </w:p>
  </w:footnote>
  <w:footnote w:type="continuationSeparator" w:id="0">
    <w:p w:rsidR="00FA22F8" w:rsidP="00FA22F8" w:rsidRDefault="00FA22F8" w14:paraId="6CA8113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22F8" w:rsidRDefault="00FA22F8" w14:paraId="0AABA0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22F8" w:rsidRDefault="00FA22F8" w14:paraId="5BCD913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22F8" w:rsidRDefault="00FA22F8" w14:paraId="672AFC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10874"/>
    <w:multiLevelType w:val="multilevel"/>
    <w:tmpl w:val="D7A2E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ED2F4C"/>
    <w:multiLevelType w:val="multilevel"/>
    <w:tmpl w:val="4E183E74"/>
    <w:lvl w:ilvl="0">
      <w:start w:val="1"/>
      <w:numFmt w:val="decimal"/>
      <w:lvlText w:val="(%1)"/>
      <w:lvlJc w:val="left"/>
      <w:pPr>
        <w:ind w:left="900" w:hanging="54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C1078AE"/>
    <w:multiLevelType w:val="multilevel"/>
    <w:tmpl w:val="1FFC6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82128D"/>
    <w:multiLevelType w:val="multilevel"/>
    <w:tmpl w:val="A886A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60A694E"/>
    <w:multiLevelType w:val="multilevel"/>
    <w:tmpl w:val="4858B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2835761">
    <w:abstractNumId w:val="0"/>
  </w:num>
  <w:num w:numId="2" w16cid:durableId="746481">
    <w:abstractNumId w:val="3"/>
  </w:num>
  <w:num w:numId="3" w16cid:durableId="907426482">
    <w:abstractNumId w:val="2"/>
  </w:num>
  <w:num w:numId="4" w16cid:durableId="999649337">
    <w:abstractNumId w:val="4"/>
  </w:num>
  <w:num w:numId="5" w16cid:durableId="1089235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6DE"/>
    <w:rsid w:val="00031A0E"/>
    <w:rsid w:val="000828D5"/>
    <w:rsid w:val="000D11DC"/>
    <w:rsid w:val="00177CFF"/>
    <w:rsid w:val="001C1D33"/>
    <w:rsid w:val="003A3D89"/>
    <w:rsid w:val="003A6EA7"/>
    <w:rsid w:val="003F26DE"/>
    <w:rsid w:val="00417FBE"/>
    <w:rsid w:val="004B6A91"/>
    <w:rsid w:val="004F7A1C"/>
    <w:rsid w:val="00640669"/>
    <w:rsid w:val="006C220D"/>
    <w:rsid w:val="006F0135"/>
    <w:rsid w:val="0082771E"/>
    <w:rsid w:val="00861287"/>
    <w:rsid w:val="008933F8"/>
    <w:rsid w:val="00B165AC"/>
    <w:rsid w:val="00B55FB5"/>
    <w:rsid w:val="00C27284"/>
    <w:rsid w:val="00CC2EC6"/>
    <w:rsid w:val="00CD15EF"/>
    <w:rsid w:val="00CE3D3C"/>
    <w:rsid w:val="00DB7048"/>
    <w:rsid w:val="00DB7B90"/>
    <w:rsid w:val="00DC584F"/>
    <w:rsid w:val="00E901F2"/>
    <w:rsid w:val="00E95C62"/>
    <w:rsid w:val="00F006E5"/>
    <w:rsid w:val="00F203C9"/>
    <w:rsid w:val="00F41B04"/>
    <w:rsid w:val="00FA22F8"/>
    <w:rsid w:val="00FC39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146E5"/>
  <w15:docId w15:val="{C530C35C-3ACE-44E8-80F1-36A174D88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A22F8"/>
    <w:pPr>
      <w:tabs>
        <w:tab w:val="center" w:pos="4680"/>
        <w:tab w:val="right" w:pos="9360"/>
      </w:tabs>
      <w:spacing w:line="240" w:lineRule="auto"/>
    </w:pPr>
  </w:style>
  <w:style w:type="character" w:styleId="HeaderChar" w:customStyle="1">
    <w:name w:val="Header Char"/>
    <w:basedOn w:val="DefaultParagraphFont"/>
    <w:link w:val="Header"/>
    <w:uiPriority w:val="99"/>
    <w:rsid w:val="00FA22F8"/>
  </w:style>
  <w:style w:type="paragraph" w:styleId="Footer">
    <w:name w:val="footer"/>
    <w:basedOn w:val="Normal"/>
    <w:link w:val="FooterChar"/>
    <w:uiPriority w:val="99"/>
    <w:unhideWhenUsed/>
    <w:rsid w:val="00FA22F8"/>
    <w:pPr>
      <w:tabs>
        <w:tab w:val="center" w:pos="4680"/>
        <w:tab w:val="right" w:pos="9360"/>
      </w:tabs>
      <w:spacing w:line="240" w:lineRule="auto"/>
    </w:pPr>
  </w:style>
  <w:style w:type="character" w:styleId="FooterChar" w:customStyle="1">
    <w:name w:val="Footer Char"/>
    <w:basedOn w:val="DefaultParagraphFont"/>
    <w:link w:val="Footer"/>
    <w:uiPriority w:val="99"/>
    <w:rsid w:val="00FA22F8"/>
  </w:style>
  <w:style w:type="character" w:styleId="Hyperlink">
    <w:name w:val="Hyperlink"/>
    <w:basedOn w:val="DefaultParagraphFont"/>
    <w:uiPriority w:val="99"/>
    <w:unhideWhenUsed/>
    <w:rsid w:val="00031A0E"/>
    <w:rPr>
      <w:color w:val="0000FF" w:themeColor="hyperlink"/>
      <w:u w:val="single"/>
    </w:rPr>
  </w:style>
  <w:style w:type="character" w:styleId="UnresolvedMention">
    <w:name w:val="Unresolved Mention"/>
    <w:basedOn w:val="DefaultParagraphFont"/>
    <w:uiPriority w:val="99"/>
    <w:semiHidden/>
    <w:unhideWhenUsed/>
    <w:rsid w:val="00031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535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mailto:rothecm@roth.com"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yperlink" Target="http://www.electrovaya.com" TargetMode="External" Id="rId10" /><Relationship Type="http://schemas.openxmlformats.org/officeDocument/2006/relationships/webSettings" Target="webSettings.xml" Id="rId4" /><Relationship Type="http://schemas.openxmlformats.org/officeDocument/2006/relationships/hyperlink" Target="mailto:jroy@electrovaya.com" TargetMode="External" Id="rId9" /><Relationship Type="http://schemas.openxmlformats.org/officeDocument/2006/relationships/footer" Target="footer2.xml" Id="rId14"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2024-12-18T03:03:21.0000000Z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XDOCID">
    <vt:lpwstr>Block DocID</vt:lpwstr>
  </op:property>
</op:Properties>
</file>