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626E" w:rsidP="0010732A" w:rsidRDefault="0018626E" w14:paraId="150D94B2" w14:textId="77777777">
      <w:pPr>
        <w:pStyle w:val="Body"/>
        <w:rPr>
          <w:rFonts w:ascii="Calibri" w:hAnsi="Calibri" w:cs="Calibri"/>
          <w:b/>
          <w:bCs/>
          <w:sz w:val="24"/>
          <w:szCs w:val="24"/>
        </w:rPr>
      </w:pPr>
    </w:p>
    <w:p w:rsidRPr="00324BEF" w:rsidR="0010732A" w:rsidP="0010732A" w:rsidRDefault="0010732A" w14:paraId="12467532" w14:textId="61D720AE">
      <w:pPr>
        <w:pStyle w:val="Body"/>
        <w:rPr>
          <w:rFonts w:ascii="Calibri" w:hAnsi="Calibri" w:cs="Calibri"/>
          <w:b/>
          <w:bCs/>
          <w:sz w:val="24"/>
          <w:szCs w:val="24"/>
        </w:rPr>
      </w:pPr>
      <w:r w:rsidRPr="00324BEF">
        <w:rPr>
          <w:rFonts w:ascii="Calibri" w:hAnsi="Calibri" w:cs="Calibri"/>
          <w:b/>
          <w:bCs/>
          <w:sz w:val="24"/>
          <w:szCs w:val="24"/>
        </w:rPr>
        <w:t>For Immediate Release</w:t>
      </w:r>
    </w:p>
    <w:p w:rsidRPr="00324BEF" w:rsidR="0010732A" w:rsidP="0010732A" w:rsidRDefault="0010732A" w14:paraId="1DE900F7" w14:textId="77777777">
      <w:pPr>
        <w:pStyle w:val="Body"/>
        <w:rPr>
          <w:rFonts w:ascii="Calibri" w:hAnsi="Calibri" w:cs="Calibri"/>
        </w:rPr>
      </w:pPr>
    </w:p>
    <w:p w:rsidR="002935AA" w:rsidP="006073DF" w:rsidRDefault="00066EF7" w14:paraId="675BCFEE" w14:textId="5AC62423">
      <w:pPr>
        <w:pStyle w:val="Body"/>
        <w:jc w:val="center"/>
        <w:rPr>
          <w:rFonts w:ascii="Calibri" w:hAnsi="Calibri" w:cs="Calibri"/>
          <w:b/>
          <w:bCs/>
          <w:sz w:val="28"/>
          <w:szCs w:val="28"/>
        </w:rPr>
      </w:pPr>
      <w:r>
        <w:rPr>
          <w:rFonts w:ascii="Calibri" w:hAnsi="Calibri" w:cs="Calibri"/>
          <w:b/>
          <w:bCs/>
          <w:sz w:val="28"/>
          <w:szCs w:val="28"/>
        </w:rPr>
        <w:t>HSG Advisors</w:t>
      </w:r>
      <w:r w:rsidR="00433196">
        <w:rPr>
          <w:rFonts w:ascii="Calibri" w:hAnsi="Calibri" w:cs="Calibri"/>
          <w:b/>
          <w:bCs/>
          <w:sz w:val="28"/>
          <w:szCs w:val="28"/>
        </w:rPr>
        <w:t xml:space="preserve"> </w:t>
      </w:r>
      <w:r w:rsidR="009A7EDF">
        <w:rPr>
          <w:rFonts w:ascii="Calibri" w:hAnsi="Calibri" w:cs="Calibri"/>
          <w:b/>
          <w:bCs/>
          <w:sz w:val="28"/>
          <w:szCs w:val="28"/>
        </w:rPr>
        <w:t xml:space="preserve">Expands Claims Data Analytics Services </w:t>
      </w:r>
      <w:r w:rsidR="00433196">
        <w:rPr>
          <w:rFonts w:ascii="Calibri" w:hAnsi="Calibri" w:cs="Calibri"/>
          <w:b/>
          <w:bCs/>
          <w:sz w:val="28"/>
          <w:szCs w:val="28"/>
        </w:rPr>
        <w:t xml:space="preserve"> </w:t>
      </w:r>
    </w:p>
    <w:p w:rsidRPr="00433196" w:rsidR="00D3173B" w:rsidP="1B86F20C" w:rsidRDefault="25DFB671" w14:paraId="1175BDF3" w14:textId="3EF1D661">
      <w:pPr>
        <w:pStyle w:val="Body"/>
        <w:jc w:val="center"/>
        <w:rPr>
          <w:rFonts w:ascii="Calibri" w:hAnsi="Calibri" w:cs="Calibri"/>
          <w:i/>
          <w:iCs/>
          <w:sz w:val="24"/>
          <w:szCs w:val="24"/>
        </w:rPr>
      </w:pPr>
      <w:r w:rsidRPr="1B86F20C">
        <w:rPr>
          <w:rFonts w:ascii="Calibri" w:hAnsi="Calibri" w:cs="Calibri" w:eastAsiaTheme="minorEastAsia"/>
          <w:i/>
          <w:iCs/>
          <w:color w:val="auto"/>
          <w:sz w:val="24"/>
          <w:szCs w:val="24"/>
          <w:bdr w:val="none" w:color="auto" w:sz="0" w:space="0"/>
        </w:rPr>
        <w:t xml:space="preserve">Leading Healthcare Consultancy </w:t>
      </w:r>
      <w:r w:rsidRPr="1B86F20C" w:rsidR="00B4022D">
        <w:rPr>
          <w:rFonts w:ascii="Calibri" w:hAnsi="Calibri" w:cs="Calibri" w:eastAsiaTheme="minorEastAsia"/>
          <w:i/>
          <w:iCs/>
          <w:color w:val="auto"/>
          <w:sz w:val="24"/>
          <w:szCs w:val="24"/>
          <w:bdr w:val="none" w:color="auto" w:sz="0" w:space="0"/>
        </w:rPr>
        <w:t>Meet</w:t>
      </w:r>
      <w:r w:rsidRPr="1B86F20C" w:rsidR="3EFC8163">
        <w:rPr>
          <w:rFonts w:ascii="Calibri" w:hAnsi="Calibri" w:cs="Calibri" w:eastAsiaTheme="minorEastAsia"/>
          <w:i/>
          <w:iCs/>
          <w:color w:val="auto"/>
          <w:sz w:val="24"/>
          <w:szCs w:val="24"/>
          <w:bdr w:val="none" w:color="auto" w:sz="0" w:space="0"/>
        </w:rPr>
        <w:t>s</w:t>
      </w:r>
      <w:r w:rsidRPr="1B86F20C" w:rsidR="00B4022D">
        <w:rPr>
          <w:rFonts w:ascii="Calibri" w:hAnsi="Calibri" w:cs="Calibri" w:eastAsiaTheme="minorEastAsia"/>
          <w:i/>
          <w:iCs/>
          <w:color w:val="auto"/>
          <w:sz w:val="24"/>
          <w:szCs w:val="24"/>
          <w:bdr w:val="none" w:color="auto" w:sz="0" w:space="0"/>
        </w:rPr>
        <w:t xml:space="preserve"> </w:t>
      </w:r>
      <w:r w:rsidRPr="1B86F20C" w:rsidR="726EF7A1">
        <w:rPr>
          <w:rFonts w:ascii="Calibri" w:hAnsi="Calibri" w:cs="Calibri" w:eastAsiaTheme="minorEastAsia"/>
          <w:i/>
          <w:iCs/>
          <w:color w:val="auto"/>
          <w:sz w:val="24"/>
          <w:szCs w:val="24"/>
          <w:bdr w:val="none" w:color="auto" w:sz="0" w:space="0"/>
        </w:rPr>
        <w:t xml:space="preserve">Increasing </w:t>
      </w:r>
      <w:r w:rsidRPr="1B86F20C" w:rsidR="00B4022D">
        <w:rPr>
          <w:rFonts w:ascii="Calibri" w:hAnsi="Calibri" w:cs="Calibri" w:eastAsiaTheme="minorEastAsia"/>
          <w:i/>
          <w:iCs/>
          <w:color w:val="auto"/>
          <w:sz w:val="24"/>
          <w:szCs w:val="24"/>
          <w:bdr w:val="none" w:color="auto" w:sz="0" w:space="0"/>
        </w:rPr>
        <w:t>D</w:t>
      </w:r>
      <w:r w:rsidRPr="1B86F20C" w:rsidR="00A34710">
        <w:rPr>
          <w:rFonts w:ascii="Calibri" w:hAnsi="Calibri" w:cs="Calibri" w:eastAsiaTheme="minorEastAsia"/>
          <w:i/>
          <w:iCs/>
          <w:color w:val="auto"/>
          <w:sz w:val="24"/>
          <w:szCs w:val="24"/>
          <w:bdr w:val="none" w:color="auto" w:sz="0" w:space="0"/>
        </w:rPr>
        <w:t>emand for Data-Driven Insights</w:t>
      </w:r>
      <w:r w:rsidR="004C3EED">
        <w:rPr>
          <w:rFonts w:ascii="Calibri" w:hAnsi="Calibri" w:cs="Calibri" w:eastAsiaTheme="minorHAnsi"/>
          <w:i/>
          <w:iCs/>
          <w:color w:val="auto"/>
          <w:sz w:val="24"/>
          <w:szCs w:val="24"/>
          <w:bdr w:val="none" w:color="auto" w:sz="0" w:space="0"/>
        </w:rPr>
        <w:br/>
      </w:r>
    </w:p>
    <w:p w:rsidRPr="004C3EED" w:rsidR="007C0555" w:rsidP="007C0555" w:rsidRDefault="07247E21" w14:paraId="08D6047D" w14:textId="057A4B1C">
      <w:pPr>
        <w:rPr>
          <w:rFonts w:ascii="Calibri" w:hAnsi="Calibri" w:cs="Calibri"/>
        </w:rPr>
      </w:pPr>
      <w:r w:rsidRPr="00433196" w:rsidR="07247E21">
        <w:rPr>
          <w:rFonts w:ascii="Calibri" w:hAnsi="Calibri" w:cs="Calibri"/>
          <w:b w:val="1"/>
          <w:bCs w:val="1"/>
        </w:rPr>
        <w:t>Louisville, KY (</w:t>
      </w:r>
      <w:r w:rsidR="00A34710">
        <w:rPr>
          <w:rFonts w:ascii="Calibri" w:hAnsi="Calibri" w:cs="Calibri"/>
          <w:b w:val="1"/>
          <w:bCs w:val="1"/>
        </w:rPr>
        <w:t>December</w:t>
      </w:r>
      <w:r w:rsidRPr="00433196" w:rsidR="0012412D">
        <w:rPr>
          <w:rFonts w:ascii="Calibri" w:hAnsi="Calibri" w:cs="Calibri"/>
          <w:b w:val="1"/>
          <w:bCs w:val="1"/>
        </w:rPr>
        <w:t xml:space="preserve"> </w:t>
      </w:r>
      <w:r w:rsidRPr="00433196" w:rsidR="003B1F2D">
        <w:rPr>
          <w:rFonts w:ascii="Calibri" w:hAnsi="Calibri" w:cs="Calibri"/>
          <w:b w:val="1"/>
          <w:bCs w:val="1"/>
        </w:rPr>
        <w:t xml:space="preserve"> </w:t>
      </w:r>
      <w:r w:rsidRPr="00433196" w:rsidR="24767798">
        <w:rPr>
          <w:rFonts w:ascii="Calibri" w:hAnsi="Calibri" w:cs="Calibri"/>
          <w:b w:val="1"/>
          <w:bCs w:val="1"/>
        </w:rPr>
        <w:t xml:space="preserve">15</w:t>
      </w:r>
      <w:r w:rsidRPr="00433196" w:rsidR="07247E21">
        <w:rPr>
          <w:rFonts w:ascii="Calibri" w:hAnsi="Calibri" w:cs="Calibri"/>
          <w:b w:val="1"/>
          <w:bCs w:val="1"/>
        </w:rPr>
        <w:t>, 2023)</w:t>
      </w:r>
      <w:r w:rsidRPr="00433196" w:rsidR="00861C01">
        <w:rPr>
          <w:rFonts w:ascii="Calibri" w:hAnsi="Calibri" w:cs="Calibri"/>
          <w:b w:val="1"/>
          <w:bCs w:val="1"/>
        </w:rPr>
        <w:t xml:space="preserve"> </w:t>
      </w:r>
      <w:r w:rsidRPr="00433196" w:rsidR="07247E21">
        <w:rPr>
          <w:rFonts w:ascii="Calibri" w:hAnsi="Calibri" w:cs="Calibri"/>
          <w:b w:val="1"/>
          <w:bCs w:val="1"/>
        </w:rPr>
        <w:t>–</w:t>
      </w:r>
      <w:r w:rsidRPr="00433196" w:rsidR="00433196">
        <w:rPr>
          <w:rStyle w:val="Hyperlink"/>
          <w:rFonts w:ascii="Calibri" w:hAnsi="Calibri" w:eastAsia="Calibri" w:cs="Calibri"/>
          <w:u w:val="none"/>
        </w:rPr>
        <w:t xml:space="preserve"> </w:t>
      </w:r>
      <w:r w:rsidRPr="004C3EED" w:rsidR="00433196">
        <w:rPr>
          <w:rFonts w:ascii="Calibri" w:hAnsi="Calibri" w:eastAsia="Calibri" w:cs="Calibri"/>
        </w:rPr>
        <w:t xml:space="preserve">HSG Advisors, a </w:t>
      </w:r>
      <w:r w:rsidRPr="004C3EED" w:rsidR="07B12D62">
        <w:rPr>
          <w:rFonts w:ascii="Calibri" w:hAnsi="Calibri" w:eastAsia="Calibri" w:cs="Calibri"/>
        </w:rPr>
        <w:t>leading</w:t>
      </w:r>
      <w:r w:rsidRPr="004C3EED" w:rsidR="00433196">
        <w:rPr>
          <w:rFonts w:ascii="Calibri" w:hAnsi="Calibri" w:eastAsia="Calibri" w:cs="Calibri"/>
        </w:rPr>
        <w:t xml:space="preserve"> healthcare </w:t>
      </w:r>
      <w:r w:rsidRPr="004C3EED" w:rsidR="23576A94">
        <w:rPr>
          <w:rFonts w:ascii="Calibri" w:hAnsi="Calibri" w:eastAsia="Calibri" w:cs="Calibri"/>
        </w:rPr>
        <w:t>analytics and advisory firm</w:t>
      </w:r>
      <w:r w:rsidRPr="004C3EED" w:rsidR="00433196">
        <w:rPr>
          <w:rFonts w:ascii="Calibri" w:hAnsi="Calibri" w:eastAsia="Calibri" w:cs="Calibri"/>
        </w:rPr>
        <w:t xml:space="preserve">, </w:t>
      </w:r>
      <w:r w:rsidRPr="004C3EED" w:rsidR="00171C01">
        <w:rPr>
          <w:rFonts w:ascii="Calibri" w:hAnsi="Calibri" w:eastAsia="Times New Roman" w:cs="Calibri"/>
          <w:lang w:eastAsia="zh-CN"/>
        </w:rPr>
        <w:t>announce</w:t>
      </w:r>
      <w:r w:rsidRPr="004C3EED" w:rsidR="007C0555">
        <w:rPr>
          <w:rFonts w:ascii="Calibri" w:hAnsi="Calibri" w:eastAsia="Times New Roman" w:cs="Calibri"/>
          <w:lang w:eastAsia="zh-CN"/>
        </w:rPr>
        <w:t>d</w:t>
      </w:r>
      <w:r w:rsidRPr="004C3EED" w:rsidR="00171C01">
        <w:rPr>
          <w:rFonts w:ascii="Calibri" w:hAnsi="Calibri" w:eastAsia="Times New Roman" w:cs="Calibri"/>
          <w:lang w:eastAsia="zh-CN"/>
        </w:rPr>
        <w:t xml:space="preserve"> </w:t>
      </w:r>
      <w:r w:rsidRPr="004C3EED" w:rsidR="009A7EDF">
        <w:rPr>
          <w:rFonts w:ascii="Calibri" w:hAnsi="Calibri" w:eastAsia="Times New Roman" w:cs="Calibri"/>
          <w:lang w:eastAsia="zh-CN"/>
        </w:rPr>
        <w:t xml:space="preserve">further expansion of </w:t>
      </w:r>
      <w:r w:rsidRPr="004C3EED" w:rsidR="00FA282F">
        <w:rPr>
          <w:rFonts w:ascii="Calibri" w:hAnsi="Calibri" w:eastAsia="Times New Roman" w:cs="Calibri"/>
          <w:lang w:eastAsia="zh-CN"/>
        </w:rPr>
        <w:t xml:space="preserve">its </w:t>
      </w:r>
      <w:hyperlink w:tgtFrame="_blank" w:tooltip="HSG Advisors' Claims Data Analytics service" w:history="1" r:id="Rffc8062e875c473f">
        <w:r w:rsidRPr="004C3EED" w:rsidR="007C0555">
          <w:rPr>
            <w:rStyle w:val="Hyperlink"/>
            <w:rFonts w:ascii="Calibri" w:hAnsi="Calibri" w:cs="Calibri"/>
            <w:color w:val="0252A9"/>
            <w:spacing w:val="2"/>
          </w:rPr>
          <w:t>Claims Data Analytics services</w:t>
        </w:r>
      </w:hyperlink>
      <w:r w:rsidRPr="004C3EED" w:rsidR="007C0555">
        <w:rPr>
          <w:rFonts w:ascii="Calibri" w:hAnsi="Calibri" w:cs="Calibri"/>
        </w:rPr>
        <w:t xml:space="preserve"> (CDA), with publication of data elements through a new </w:t>
      </w:r>
      <w:r w:rsidRPr="004C3EED" w:rsidR="18DB5864">
        <w:rPr>
          <w:rFonts w:ascii="Calibri" w:hAnsi="Calibri" w:cs="Calibri"/>
        </w:rPr>
        <w:t xml:space="preserve">online interface, </w:t>
      </w:r>
      <w:r w:rsidRPr="004C3EED" w:rsidR="007C0555">
        <w:rPr>
          <w:rFonts w:ascii="Calibri" w:hAnsi="Calibri" w:cs="Calibri"/>
        </w:rPr>
        <w:t>HSG Dashboard</w:t>
      </w:r>
      <w:r w:rsidRPr="004C3EED" w:rsidR="14E85382">
        <w:rPr>
          <w:rFonts w:ascii="Calibri" w:hAnsi="Calibri" w:cs="Calibri"/>
        </w:rPr>
        <w:t>,</w:t>
      </w:r>
      <w:r w:rsidRPr="004C3EED" w:rsidR="007C0555">
        <w:rPr>
          <w:rFonts w:ascii="Calibri" w:hAnsi="Calibri" w:cs="Calibri"/>
        </w:rPr>
        <w:t xml:space="preserve"> </w:t>
      </w:r>
      <w:r w:rsidRPr="004C3EED" w:rsidR="69FC2AB3">
        <w:rPr>
          <w:rFonts w:ascii="Calibri" w:hAnsi="Calibri" w:cs="Calibri"/>
        </w:rPr>
        <w:t xml:space="preserve">which will be </w:t>
      </w:r>
      <w:r w:rsidRPr="004C3EED" w:rsidR="007C0555">
        <w:rPr>
          <w:rFonts w:ascii="Calibri" w:hAnsi="Calibri" w:cs="Calibri"/>
        </w:rPr>
        <w:t>available</w:t>
      </w:r>
      <w:r w:rsidRPr="004C3EED" w:rsidR="782DCAFC">
        <w:rPr>
          <w:rFonts w:ascii="Calibri" w:hAnsi="Calibri" w:cs="Calibri"/>
        </w:rPr>
        <w:t xml:space="preserve"> to all customers</w:t>
      </w:r>
      <w:r w:rsidRPr="004C3EED" w:rsidR="007C0555">
        <w:rPr>
          <w:rFonts w:ascii="Calibri" w:hAnsi="Calibri" w:cs="Calibri"/>
        </w:rPr>
        <w:t xml:space="preserve"> in 2024. The news follows a January 2023 announcement that outlined </w:t>
      </w:r>
      <w:r w:rsidRPr="004C3EED" w:rsidR="00EC6B77">
        <w:rPr>
          <w:rFonts w:ascii="Calibri" w:hAnsi="Calibri" w:cs="Calibri"/>
        </w:rPr>
        <w:t>enhancements to its proprietary</w:t>
      </w:r>
      <w:r w:rsidRPr="004C3EED" w:rsidR="007C0555">
        <w:rPr>
          <w:rFonts w:ascii="Calibri" w:hAnsi="Calibri" w:cs="Calibri"/>
        </w:rPr>
        <w:t xml:space="preserve"> CDA capabilities and new hires in its CDA </w:t>
      </w:r>
      <w:r w:rsidRPr="004C3EED" w:rsidR="001F0205">
        <w:rPr>
          <w:rFonts w:ascii="Calibri" w:hAnsi="Calibri" w:cs="Calibri"/>
        </w:rPr>
        <w:t>practice. The</w:t>
      </w:r>
      <w:r w:rsidRPr="004C3EED" w:rsidR="007C0555">
        <w:rPr>
          <w:rFonts w:ascii="Calibri" w:hAnsi="Calibri" w:cs="Calibri"/>
        </w:rPr>
        <w:t xml:space="preserve"> company is </w:t>
      </w:r>
      <w:r w:rsidRPr="004C3EED" w:rsidR="00EC6B77">
        <w:rPr>
          <w:rFonts w:ascii="Calibri" w:hAnsi="Calibri" w:cs="Calibri"/>
        </w:rPr>
        <w:t>once again beginning a new year with new</w:t>
      </w:r>
      <w:r w:rsidRPr="004C3EED" w:rsidR="007C0555">
        <w:rPr>
          <w:rFonts w:ascii="Calibri" w:hAnsi="Calibri" w:cs="Calibri"/>
        </w:rPr>
        <w:t xml:space="preserve"> service offerings based on growing demand for data-driven insights in a rapidly shifting healthcare landscape. The most recent updates include expanded geographic coverage for all-payer claims data, </w:t>
      </w:r>
      <w:r w:rsidRPr="004C3EED" w:rsidR="007C0555">
        <w:rPr>
          <w:rFonts w:ascii="Calibri" w:hAnsi="Calibri" w:cs="Calibri"/>
        </w:rPr>
        <w:t xml:space="preserve">additional</w:t>
      </w:r>
      <w:r w:rsidRPr="004C3EED" w:rsidR="007C0555">
        <w:rPr>
          <w:rFonts w:ascii="Calibri" w:hAnsi="Calibri" w:cs="Calibri"/>
        </w:rPr>
        <w:t xml:space="preserve"> service line definitions, and enhanced sub-service line details. </w:t>
      </w:r>
    </w:p>
    <w:p w:rsidRPr="004C3EED" w:rsidR="00387B73" w:rsidP="00387B73" w:rsidRDefault="5C6B836A" w14:paraId="2A1DCA32" w14:textId="5462166E">
      <w:pPr>
        <w:rPr>
          <w:rFonts w:ascii="Calibri" w:hAnsi="Calibri" w:eastAsia="Times New Roman" w:cs="Calibri"/>
          <w:lang w:eastAsia="zh-CN"/>
        </w:rPr>
      </w:pPr>
      <w:r w:rsidRPr="5C6B836A">
        <w:rPr>
          <w:rFonts w:ascii="Calibri" w:hAnsi="Calibri" w:cs="Calibri"/>
        </w:rPr>
        <w:t>“Healthcare leaders are increasingly recognizing the importance of arming their teams with actionable data, and we’re excited to see the industry response each time we roll out new data insights and advisory services</w:t>
      </w:r>
      <w:r w:rsidRPr="5C6B836A">
        <w:rPr>
          <w:rFonts w:ascii="Calibri" w:hAnsi="Calibri" w:eastAsia="Times New Roman" w:cs="Calibri"/>
          <w:lang w:eastAsia="zh-CN"/>
        </w:rPr>
        <w:t xml:space="preserve"> to support their health systems,” says </w:t>
      </w:r>
      <w:hyperlink r:id="rId12">
        <w:r w:rsidRPr="5C6B836A">
          <w:rPr>
            <w:rFonts w:ascii="Calibri" w:hAnsi="Calibri" w:cs="Calibri"/>
          </w:rPr>
          <w:t>D.J. Sullivan, Chief Strategy Officer and Managing Director</w:t>
        </w:r>
      </w:hyperlink>
      <w:r w:rsidRPr="5C6B836A">
        <w:rPr>
          <w:rFonts w:ascii="Calibri" w:hAnsi="Calibri" w:cs="Calibri"/>
        </w:rPr>
        <w:t>, Claims Data Analytics at HSG Advisors.</w:t>
      </w:r>
    </w:p>
    <w:p w:rsidRPr="004C3EED" w:rsidR="00654E2C" w:rsidP="00654E2C" w:rsidRDefault="5C6B836A" w14:paraId="360ACD54" w14:textId="52035A65">
      <w:pPr>
        <w:rPr>
          <w:rFonts w:ascii="Calibri" w:hAnsi="Calibri" w:eastAsia="Times New Roman" w:cs="Calibri"/>
          <w:lang w:eastAsia="zh-CN"/>
        </w:rPr>
      </w:pPr>
      <w:r w:rsidRPr="5C6B836A">
        <w:rPr>
          <w:rFonts w:ascii="Calibri" w:hAnsi="Calibri" w:eastAsia="Times New Roman" w:cs="Calibri"/>
          <w:lang w:eastAsia="zh-CN"/>
        </w:rPr>
        <w:t xml:space="preserve">HSG’s CDA services are based on proprietary all-payer healthcare claims data. The company estimates a 15-20% increase in all-payer commercial claims coverage nationwide in </w:t>
      </w:r>
      <w:r w:rsidRPr="00D446FF">
        <w:rPr>
          <w:rFonts w:ascii="Calibri" w:hAnsi="Calibri" w:eastAsia="Times New Roman" w:cs="Calibri"/>
          <w:lang w:eastAsia="zh-CN"/>
        </w:rPr>
        <w:t>early 2024</w:t>
      </w:r>
      <w:r w:rsidRPr="5C6B836A">
        <w:rPr>
          <w:rFonts w:ascii="Calibri" w:hAnsi="Calibri" w:eastAsia="Times New Roman" w:cs="Calibri"/>
          <w:lang w:eastAsia="zh-CN"/>
        </w:rPr>
        <w:t xml:space="preserve">, offering new opportunities to utilize data for strategic decision making in healthcare and related industries. In addition to providing </w:t>
      </w:r>
      <w:r w:rsidRPr="5C6B836A">
        <w:rPr>
          <w:rFonts w:ascii="Calibri" w:hAnsi="Calibri" w:cs="Calibri"/>
        </w:rPr>
        <w:t xml:space="preserve">organization-specific, market-specific, and service-specific data for its clients, </w:t>
      </w:r>
      <w:r w:rsidRPr="5C6B836A">
        <w:rPr>
          <w:rFonts w:ascii="Calibri" w:hAnsi="Calibri" w:eastAsia="Times New Roman" w:cs="Calibri"/>
          <w:lang w:eastAsia="zh-CN"/>
        </w:rPr>
        <w:t xml:space="preserve">HSG partners with healthcare leaders to help them interpret and operationalize the information through its consulting services. </w:t>
      </w:r>
    </w:p>
    <w:p w:rsidRPr="004C3EED" w:rsidR="00654E2C" w:rsidP="00FC0BDE" w:rsidRDefault="00654E2C" w14:paraId="0A01A8CC" w14:textId="338FC15D">
      <w:pPr>
        <w:spacing w:after="0" w:line="240" w:lineRule="auto"/>
        <w:rPr>
          <w:rFonts w:ascii="Calibri" w:hAnsi="Calibri" w:eastAsia="Times New Roman" w:cs="Calibri"/>
          <w:lang w:eastAsia="zh-CN"/>
        </w:rPr>
      </w:pPr>
      <w:r w:rsidRPr="004C3EED">
        <w:rPr>
          <w:rFonts w:ascii="Calibri" w:hAnsi="Calibri" w:eastAsia="Times New Roman" w:cs="Calibri"/>
          <w:lang w:eastAsia="zh-CN"/>
        </w:rPr>
        <w:t>The company also makes updates to its data to keep ahead of industry changes. HSG made significant serv</w:t>
      </w:r>
      <w:r w:rsidR="004C3EED">
        <w:rPr>
          <w:rFonts w:ascii="Calibri" w:hAnsi="Calibri" w:eastAsia="Times New Roman" w:cs="Calibri"/>
          <w:lang w:eastAsia="zh-CN"/>
        </w:rPr>
        <w:t>i</w:t>
      </w:r>
      <w:r w:rsidRPr="004C3EED">
        <w:rPr>
          <w:rFonts w:ascii="Calibri" w:hAnsi="Calibri" w:eastAsia="Times New Roman" w:cs="Calibri"/>
          <w:lang w:eastAsia="zh-CN"/>
        </w:rPr>
        <w:t xml:space="preserve">ce line edits and revisions based on new codes released from the American Medical Association and the Centers for Medicare &amp; Medicaid Services, a crucial update for service-based data. </w:t>
      </w:r>
      <w:r w:rsidRPr="004C3EED" w:rsidR="00FC0BDE">
        <w:rPr>
          <w:rFonts w:ascii="Calibri" w:hAnsi="Calibri" w:eastAsia="Times New Roman" w:cs="Calibri"/>
          <w:lang w:eastAsia="zh-CN"/>
        </w:rPr>
        <w:t xml:space="preserve">Additional service line expansions include: </w:t>
      </w:r>
    </w:p>
    <w:p w:rsidRPr="004C3EED" w:rsidR="00FC0BDE" w:rsidP="00FC0BDE" w:rsidRDefault="00FC0BDE" w14:paraId="0B3F902F" w14:textId="6850B430">
      <w:pPr>
        <w:pStyle w:val="ListParagraph"/>
        <w:numPr>
          <w:ilvl w:val="0"/>
          <w:numId w:val="8"/>
        </w:numPr>
        <w:rPr>
          <w:rFonts w:ascii="Calibri" w:hAnsi="Calibri" w:eastAsia="Times New Roman" w:cs="Calibri"/>
          <w:lang w:eastAsia="zh-CN"/>
        </w:rPr>
      </w:pPr>
      <w:r w:rsidRPr="004C3EED">
        <w:rPr>
          <w:rFonts w:ascii="Calibri" w:hAnsi="Calibri" w:eastAsia="Times New Roman" w:cs="Calibri"/>
          <w:lang w:eastAsia="zh-CN"/>
        </w:rPr>
        <w:t>Incremental outpatient service and sub-service line definitions, including new imaging, labs, and outpatient evaluation and management (E/M) sub-service line categories, with additional edits to E/M codes</w:t>
      </w:r>
    </w:p>
    <w:p w:rsidRPr="004C3EED" w:rsidR="00FC0BDE" w:rsidP="00FC0BDE" w:rsidRDefault="5C6B836A" w14:paraId="548C6BB3" w14:textId="0B1D3B0F">
      <w:pPr>
        <w:pStyle w:val="ListParagraph"/>
        <w:numPr>
          <w:ilvl w:val="0"/>
          <w:numId w:val="8"/>
        </w:numPr>
        <w:rPr>
          <w:rFonts w:ascii="Calibri" w:hAnsi="Calibri" w:eastAsia="Times New Roman" w:cs="Calibri"/>
          <w:lang w:eastAsia="zh-CN"/>
        </w:rPr>
      </w:pPr>
      <w:proofErr w:type="gramStart"/>
      <w:r w:rsidRPr="5C6B836A">
        <w:rPr>
          <w:rFonts w:ascii="Calibri" w:hAnsi="Calibri" w:eastAsia="Times New Roman" w:cs="Calibri"/>
          <w:lang w:eastAsia="zh-CN"/>
        </w:rPr>
        <w:t>Break-outs</w:t>
      </w:r>
      <w:proofErr w:type="gramEnd"/>
      <w:r w:rsidRPr="5C6B836A">
        <w:rPr>
          <w:rFonts w:ascii="Calibri" w:hAnsi="Calibri" w:eastAsia="Times New Roman" w:cs="Calibri"/>
          <w:lang w:eastAsia="zh-CN"/>
        </w:rPr>
        <w:t xml:space="preserve"> of specific services, including a spine/back breakout from neurosciences, orthopedic sub-service line definition buildouts, and a revamp of cardiovascular sub-services </w:t>
      </w:r>
    </w:p>
    <w:p w:rsidRPr="004C3EED" w:rsidR="00FC0BDE" w:rsidP="00FC0BDE" w:rsidRDefault="00FC0BDE" w14:paraId="7C6C0C47" w14:textId="4254C833">
      <w:pPr>
        <w:pStyle w:val="ListParagraph"/>
        <w:numPr>
          <w:ilvl w:val="0"/>
          <w:numId w:val="8"/>
        </w:numPr>
        <w:spacing w:after="0" w:line="240" w:lineRule="auto"/>
        <w:rPr>
          <w:rFonts w:ascii="Calibri" w:hAnsi="Calibri" w:eastAsia="Times New Roman" w:cs="Calibri"/>
          <w:lang w:eastAsia="zh-CN"/>
        </w:rPr>
      </w:pPr>
      <w:r w:rsidRPr="1B86F20C">
        <w:rPr>
          <w:rFonts w:ascii="Calibri" w:hAnsi="Calibri" w:eastAsia="Times New Roman" w:cs="Calibri"/>
          <w:lang w:eastAsia="zh-CN"/>
        </w:rPr>
        <w:t xml:space="preserve">Surgical and rehabilitation service line code updates and sub-service line groupings including surgical fracture care and </w:t>
      </w:r>
      <w:r w:rsidRPr="1B86F20C" w:rsidR="447FDEFB">
        <w:rPr>
          <w:rFonts w:ascii="Calibri" w:hAnsi="Calibri" w:eastAsia="Times New Roman" w:cs="Calibri"/>
          <w:lang w:eastAsia="zh-CN"/>
        </w:rPr>
        <w:t>chiropractic</w:t>
      </w:r>
      <w:r w:rsidRPr="1B86F20C">
        <w:rPr>
          <w:rFonts w:ascii="Calibri" w:hAnsi="Calibri" w:eastAsia="Times New Roman" w:cs="Calibri"/>
          <w:lang w:eastAsia="zh-CN"/>
        </w:rPr>
        <w:t>, occupational the</w:t>
      </w:r>
      <w:r w:rsidRPr="1B86F20C" w:rsidR="4B80E909">
        <w:rPr>
          <w:rFonts w:ascii="Calibri" w:hAnsi="Calibri" w:eastAsia="Times New Roman" w:cs="Calibri"/>
          <w:lang w:eastAsia="zh-CN"/>
        </w:rPr>
        <w:t>r</w:t>
      </w:r>
      <w:r w:rsidRPr="1B86F20C">
        <w:rPr>
          <w:rFonts w:ascii="Calibri" w:hAnsi="Calibri" w:eastAsia="Times New Roman" w:cs="Calibri"/>
          <w:lang w:eastAsia="zh-CN"/>
        </w:rPr>
        <w:t>apy, physical therapy, and acupuncture rehab services</w:t>
      </w:r>
    </w:p>
    <w:p w:rsidRPr="004C3EED" w:rsidR="00171C01" w:rsidP="00FC0BDE" w:rsidRDefault="00FC0BDE" w14:paraId="514FFEBC" w14:textId="0C6EDE3C">
      <w:pPr>
        <w:spacing w:after="0" w:line="240" w:lineRule="auto"/>
        <w:rPr>
          <w:rFonts w:ascii="Calibri" w:hAnsi="Calibri" w:eastAsia="Times New Roman" w:cs="Calibri"/>
          <w:lang w:eastAsia="zh-CN"/>
        </w:rPr>
      </w:pPr>
      <w:r w:rsidRPr="004C3EED">
        <w:rPr>
          <w:rFonts w:ascii="Calibri" w:hAnsi="Calibri" w:eastAsia="Times New Roman" w:cs="Calibri"/>
          <w:lang w:eastAsia="zh-CN"/>
        </w:rPr>
        <w:t>Service line edits are dated back to</w:t>
      </w:r>
      <w:r w:rsidRPr="004C3EED" w:rsidR="00171C01">
        <w:rPr>
          <w:rFonts w:ascii="Calibri" w:hAnsi="Calibri" w:eastAsia="Times New Roman" w:cs="Calibri"/>
          <w:lang w:eastAsia="zh-CN"/>
        </w:rPr>
        <w:t xml:space="preserve"> 2019 </w:t>
      </w:r>
      <w:r w:rsidRPr="004C3EED">
        <w:rPr>
          <w:rFonts w:ascii="Calibri" w:hAnsi="Calibri" w:eastAsia="Times New Roman" w:cs="Calibri"/>
          <w:lang w:eastAsia="zh-CN"/>
        </w:rPr>
        <w:t xml:space="preserve">so clients can understand historic performance vs. the current state, including impacts related to the pandemic. </w:t>
      </w:r>
    </w:p>
    <w:p w:rsidRPr="004C3EED" w:rsidR="00FC0BDE" w:rsidP="00FC0BDE" w:rsidRDefault="00FC0BDE" w14:paraId="55521150" w14:textId="77777777">
      <w:pPr>
        <w:spacing w:after="0" w:line="240" w:lineRule="auto"/>
        <w:rPr>
          <w:rFonts w:ascii="Calibri" w:hAnsi="Calibri" w:eastAsia="Times New Roman" w:cs="Calibri"/>
          <w:lang w:eastAsia="zh-CN"/>
        </w:rPr>
      </w:pPr>
    </w:p>
    <w:p w:rsidRPr="00171C01" w:rsidR="003D0AE6" w:rsidP="00FC0BDE" w:rsidRDefault="003D0AE6" w14:paraId="5F6EEBFC" w14:textId="77777777">
      <w:pPr>
        <w:spacing w:after="0" w:line="240" w:lineRule="auto"/>
        <w:rPr>
          <w:rFonts w:ascii="Segoe UI" w:hAnsi="Segoe UI" w:eastAsia="Times New Roman" w:cs="Segoe UI"/>
          <w:sz w:val="21"/>
          <w:szCs w:val="21"/>
          <w:lang w:eastAsia="zh-CN"/>
        </w:rPr>
      </w:pPr>
    </w:p>
    <w:p w:rsidRPr="007C61B6" w:rsidR="00BF7208" w:rsidP="00FC0BDE" w:rsidRDefault="07247E21" w14:paraId="4790E217" w14:textId="04EC5342">
      <w:pPr>
        <w:pStyle w:val="NormalWeb"/>
        <w:spacing w:before="0" w:beforeAutospacing="0" w:after="150" w:afterAutospacing="0"/>
        <w:jc w:val="center"/>
        <w:rPr>
          <w:rFonts w:ascii="Calibri" w:hAnsi="Calibri" w:eastAsia="Calibri" w:cs="Calibri"/>
        </w:rPr>
      </w:pPr>
      <w:r w:rsidRPr="07247E21">
        <w:rPr>
          <w:rFonts w:ascii="Calibri" w:hAnsi="Calibri" w:eastAsia="Calibri" w:cs="Calibri"/>
        </w:rPr>
        <w:t>###</w:t>
      </w:r>
    </w:p>
    <w:p w:rsidR="00BF7208" w:rsidP="07247E21" w:rsidRDefault="00BF7208" w14:paraId="1C3E75EF" w14:textId="77777777">
      <w:pPr>
        <w:pStyle w:val="Body"/>
        <w:rPr>
          <w:rFonts w:ascii="Calibri" w:hAnsi="Calibri" w:eastAsia="Calibri" w:cs="Calibri"/>
          <w:u w:val="single"/>
        </w:rPr>
      </w:pPr>
    </w:p>
    <w:p w:rsidRPr="00341CD6" w:rsidR="00107A81" w:rsidP="07247E21" w:rsidRDefault="00107A81" w14:paraId="72A0A490" w14:textId="302EBDDF">
      <w:pPr>
        <w:pStyle w:val="Body"/>
        <w:rPr>
          <w:rFonts w:ascii="Calibri" w:hAnsi="Calibri" w:eastAsia="Calibri" w:cs="Calibri"/>
        </w:rPr>
      </w:pPr>
      <w:r w:rsidRPr="00341CD6">
        <w:rPr>
          <w:rFonts w:ascii="Calibri" w:hAnsi="Calibri" w:eastAsia="Calibri" w:cs="Calibri"/>
        </w:rPr>
        <w:t>Photo caption:</w:t>
      </w:r>
      <w:r w:rsidRPr="00341CD6" w:rsidR="001A64DE">
        <w:rPr>
          <w:rFonts w:ascii="Calibri" w:hAnsi="Calibri" w:eastAsia="Calibri" w:cs="Calibri"/>
        </w:rPr>
        <w:t xml:space="preserve"> </w:t>
      </w:r>
      <w:r w:rsidRPr="00341CD6" w:rsidR="008E5713">
        <w:rPr>
          <w:rFonts w:ascii="Calibri" w:hAnsi="Calibri" w:eastAsia="Calibri" w:cs="Calibri"/>
        </w:rPr>
        <w:t>HSG Advisors expands Claims Data Analytics services with publication of data</w:t>
      </w:r>
      <w:r w:rsidRPr="00341CD6" w:rsidR="00341CD6">
        <w:rPr>
          <w:rFonts w:ascii="Calibri" w:hAnsi="Calibri" w:eastAsia="Calibri" w:cs="Calibri"/>
        </w:rPr>
        <w:t xml:space="preserve"> elements through new online interface, HSG Dashboard.</w:t>
      </w:r>
    </w:p>
    <w:p w:rsidRPr="00324BEF" w:rsidR="00107A81" w:rsidP="07247E21" w:rsidRDefault="00107A81" w14:paraId="0BD7B8FB" w14:textId="77777777">
      <w:pPr>
        <w:pStyle w:val="Body"/>
        <w:rPr>
          <w:rFonts w:ascii="Calibri" w:hAnsi="Calibri" w:eastAsia="Calibri" w:cs="Calibri"/>
          <w:u w:val="single"/>
        </w:rPr>
      </w:pPr>
    </w:p>
    <w:p w:rsidR="00341CD6" w:rsidP="07247E21" w:rsidRDefault="00341CD6" w14:paraId="432A1656" w14:textId="77777777">
      <w:pPr>
        <w:pStyle w:val="Body"/>
        <w:rPr>
          <w:rFonts w:ascii="Calibri" w:hAnsi="Calibri" w:eastAsia="Calibri" w:cs="Calibri"/>
          <w:u w:val="single"/>
        </w:rPr>
      </w:pPr>
    </w:p>
    <w:p w:rsidRPr="00B464F5" w:rsidR="0010732A" w:rsidP="07247E21" w:rsidRDefault="07247E21" w14:paraId="233F02AE" w14:textId="0A5D9502">
      <w:pPr>
        <w:pStyle w:val="Body"/>
        <w:rPr>
          <w:rFonts w:ascii="Calibri" w:hAnsi="Calibri" w:eastAsia="Calibri" w:cs="Calibri"/>
          <w:u w:val="single"/>
        </w:rPr>
      </w:pPr>
      <w:r w:rsidRPr="07247E21">
        <w:rPr>
          <w:rFonts w:ascii="Calibri" w:hAnsi="Calibri" w:eastAsia="Calibri" w:cs="Calibri"/>
          <w:u w:val="single"/>
        </w:rPr>
        <w:lastRenderedPageBreak/>
        <w:t>About HSG Advisors</w:t>
      </w:r>
    </w:p>
    <w:p w:rsidRPr="00B464F5" w:rsidR="00361C13" w:rsidP="07247E21" w:rsidRDefault="00361C13" w14:paraId="6B0C1528" w14:textId="77777777">
      <w:pPr>
        <w:spacing w:after="0" w:line="240" w:lineRule="auto"/>
        <w:rPr>
          <w:rFonts w:ascii="Calibri" w:hAnsi="Calibri" w:eastAsia="Calibri" w:cs="Calibri"/>
        </w:rPr>
      </w:pPr>
    </w:p>
    <w:p w:rsidRPr="00B464F5" w:rsidR="007C61B6" w:rsidP="07247E21" w:rsidRDefault="001F0205" w14:paraId="14BD9269" w14:textId="4F9827F6">
      <w:pPr>
        <w:rPr>
          <w:rFonts w:ascii="Calibri" w:hAnsi="Calibri" w:eastAsia="Calibri" w:cs="Calibri"/>
        </w:rPr>
      </w:pPr>
      <w:r w:rsidRPr="6CBD0145">
        <w:rPr>
          <w:rFonts w:ascii="Calibri" w:hAnsi="Calibri" w:eastAsia="Calibri" w:cs="Calibri"/>
          <w:color w:val="181F38"/>
        </w:rPr>
        <w:t xml:space="preserve">HSG Advisors is </w:t>
      </w:r>
      <w:r w:rsidRPr="004C3EED">
        <w:rPr>
          <w:rFonts w:ascii="Calibri" w:hAnsi="Calibri" w:eastAsia="Calibri" w:cs="Calibri"/>
        </w:rPr>
        <w:t>a leading healthcare analytics and advisory firm</w:t>
      </w:r>
      <w:r w:rsidRPr="6CBD0145">
        <w:rPr>
          <w:rFonts w:ascii="Calibri" w:hAnsi="Calibri" w:eastAsia="Calibri" w:cs="Calibri"/>
          <w:color w:val="181F38"/>
        </w:rPr>
        <w:t xml:space="preserve"> that partners with health systems to transform their approach to markets, services, and providers for improved growth and operational and financial sustainability. The practice empowers leaders to build differentiated health system strategies and high-performing employed physician networks by pairing data intelligence with experienced advice. The firm's comprehensive approach to leveraging market data and analytics to inform healthcare strategies allows leaders to understand opportunities and deliver the right care to their communities. </w:t>
      </w:r>
      <w:r w:rsidRPr="07247E21" w:rsidR="07247E21">
        <w:rPr>
          <w:rFonts w:ascii="Calibri" w:hAnsi="Calibri" w:eastAsia="Calibri" w:cs="Calibri"/>
        </w:rPr>
        <w:t xml:space="preserve">For more information about HSG, visit </w:t>
      </w:r>
      <w:hyperlink r:id="rId13">
        <w:r w:rsidRPr="07247E21" w:rsidR="07247E21">
          <w:rPr>
            <w:rStyle w:val="Hyperlink"/>
            <w:rFonts w:ascii="Calibri" w:hAnsi="Calibri" w:eastAsia="Calibri" w:cs="Calibri"/>
          </w:rPr>
          <w:t>www.HSGAdvisors.com</w:t>
        </w:r>
      </w:hyperlink>
      <w:r w:rsidRPr="07247E21" w:rsidR="07247E21">
        <w:rPr>
          <w:rFonts w:ascii="Calibri" w:hAnsi="Calibri" w:eastAsia="Calibri" w:cs="Calibri"/>
        </w:rPr>
        <w:t xml:space="preserve">, </w:t>
      </w:r>
      <w:hyperlink r:id="rId14">
        <w:r w:rsidRPr="07247E21" w:rsidR="07247E21">
          <w:rPr>
            <w:rStyle w:val="Hyperlink"/>
            <w:rFonts w:ascii="Calibri" w:hAnsi="Calibri" w:eastAsia="Calibri" w:cs="Calibri"/>
          </w:rPr>
          <w:t>LinkedIn</w:t>
        </w:r>
      </w:hyperlink>
      <w:r w:rsidRPr="07247E21" w:rsidR="07247E21">
        <w:rPr>
          <w:rFonts w:ascii="Calibri" w:hAnsi="Calibri" w:eastAsia="Calibri" w:cs="Calibri"/>
        </w:rPr>
        <w:t xml:space="preserve">, email </w:t>
      </w:r>
      <w:hyperlink r:id="rId15">
        <w:r w:rsidRPr="07247E21" w:rsidR="07247E21">
          <w:rPr>
            <w:rStyle w:val="Hyperlink"/>
            <w:rFonts w:ascii="Calibri" w:hAnsi="Calibri" w:eastAsia="Calibri" w:cs="Calibri"/>
          </w:rPr>
          <w:t>info@hsgadvisors.com</w:t>
        </w:r>
      </w:hyperlink>
      <w:r w:rsidRPr="07247E21" w:rsidR="07247E21">
        <w:rPr>
          <w:rFonts w:ascii="Calibri" w:hAnsi="Calibri" w:eastAsia="Calibri" w:cs="Calibri"/>
        </w:rPr>
        <w:t>, or call (502) 814-1180.</w:t>
      </w:r>
    </w:p>
    <w:p w:rsidRPr="00324BEF" w:rsidR="00361C13" w:rsidP="07247E21" w:rsidRDefault="00361C13" w14:paraId="49948702" w14:textId="77777777">
      <w:pPr>
        <w:spacing w:after="0" w:line="240" w:lineRule="auto"/>
        <w:rPr>
          <w:rFonts w:ascii="Calibri" w:hAnsi="Calibri" w:eastAsia="Calibri" w:cs="Calibri"/>
        </w:rPr>
      </w:pPr>
    </w:p>
    <w:p w:rsidRPr="00324BEF" w:rsidR="00361C13" w:rsidP="07247E21" w:rsidRDefault="00361C13" w14:paraId="620C2BB8" w14:textId="77777777">
      <w:pPr>
        <w:spacing w:after="0" w:line="240" w:lineRule="auto"/>
        <w:rPr>
          <w:rFonts w:ascii="Calibri" w:hAnsi="Calibri" w:eastAsia="Calibri" w:cs="Calibri"/>
        </w:rPr>
      </w:pPr>
    </w:p>
    <w:p w:rsidRPr="00996B7D" w:rsidR="007C61B6" w:rsidP="07247E21" w:rsidRDefault="07247E21" w14:paraId="0748FD87" w14:textId="302EF232">
      <w:pPr>
        <w:pStyle w:val="Body"/>
        <w:rPr>
          <w:rFonts w:ascii="Calibri" w:hAnsi="Calibri" w:eastAsia="Calibri" w:cs="Calibri"/>
        </w:rPr>
      </w:pPr>
      <w:r w:rsidRPr="07247E21">
        <w:rPr>
          <w:rFonts w:ascii="Calibri" w:hAnsi="Calibri" w:eastAsia="Calibri" w:cs="Calibri"/>
        </w:rPr>
        <w:t>Media Contact: Karolyn Raphael</w:t>
      </w:r>
    </w:p>
    <w:p w:rsidRPr="00996B7D" w:rsidR="007C61B6" w:rsidP="07247E21" w:rsidRDefault="07247E21" w14:paraId="1632CF64" w14:textId="77777777">
      <w:pPr>
        <w:pStyle w:val="Body"/>
        <w:rPr>
          <w:rFonts w:ascii="Calibri" w:hAnsi="Calibri" w:eastAsia="Calibri" w:cs="Calibri"/>
        </w:rPr>
      </w:pPr>
      <w:r w:rsidRPr="07247E21">
        <w:rPr>
          <w:rFonts w:ascii="Calibri" w:hAnsi="Calibri" w:eastAsia="Calibri" w:cs="Calibri"/>
        </w:rPr>
        <w:t>Winger Marketing</w:t>
      </w:r>
    </w:p>
    <w:p w:rsidRPr="00996B7D" w:rsidR="007C61B6" w:rsidP="07247E21" w:rsidRDefault="07247E21" w14:paraId="364AF905" w14:textId="77777777">
      <w:pPr>
        <w:pStyle w:val="Body"/>
        <w:rPr>
          <w:rFonts w:ascii="Calibri" w:hAnsi="Calibri" w:eastAsia="Calibri" w:cs="Calibri"/>
        </w:rPr>
      </w:pPr>
      <w:r w:rsidRPr="07247E21">
        <w:rPr>
          <w:rFonts w:ascii="Calibri" w:hAnsi="Calibri" w:eastAsia="Calibri" w:cs="Calibri"/>
        </w:rPr>
        <w:t>(312) 494-0422</w:t>
      </w:r>
    </w:p>
    <w:p w:rsidRPr="00324BEF" w:rsidR="000806A6" w:rsidP="001F0205" w:rsidRDefault="00341CD6" w14:paraId="21D87E4C" w14:textId="77D65D84">
      <w:pPr>
        <w:pStyle w:val="Body"/>
        <w:rPr>
          <w:rFonts w:ascii="Calibri" w:hAnsi="Calibri" w:eastAsia="Calibri" w:cs="Calibri"/>
        </w:rPr>
      </w:pPr>
      <w:hyperlink r:id="rId16">
        <w:r w:rsidRPr="07247E21" w:rsidR="07247E21">
          <w:rPr>
            <w:rStyle w:val="Hyperlink0"/>
            <w:rFonts w:ascii="Calibri" w:hAnsi="Calibri" w:eastAsia="Calibri" w:cs="Calibri"/>
          </w:rPr>
          <w:t>karolyn@wingermarketing.com</w:t>
        </w:r>
      </w:hyperlink>
    </w:p>
    <w:sectPr w:rsidRPr="00324BEF" w:rsidR="000806A6" w:rsidSect="00B83C09">
      <w:footerReference w:type="default" r:id="rId17"/>
      <w:headerReference w:type="first" r:id="rId18"/>
      <w:footerReference w:type="first" r:id="rId19"/>
      <w:pgSz w:w="12240" w:h="15840" w:orient="portrait"/>
      <w:pgMar w:top="1710" w:right="900" w:bottom="1440" w:left="1080" w:header="720"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7C7C" w:rsidP="00875568" w:rsidRDefault="00CE7C7C" w14:paraId="1E17361A" w14:textId="77777777">
      <w:pPr>
        <w:spacing w:after="0" w:line="240" w:lineRule="auto"/>
      </w:pPr>
      <w:r>
        <w:separator/>
      </w:r>
    </w:p>
  </w:endnote>
  <w:endnote w:type="continuationSeparator" w:id="0">
    <w:p w:rsidR="00CE7C7C" w:rsidP="00875568" w:rsidRDefault="00CE7C7C" w14:paraId="75AAB8B6" w14:textId="77777777">
      <w:pPr>
        <w:spacing w:after="0" w:line="240" w:lineRule="auto"/>
      </w:pPr>
      <w:r>
        <w:continuationSeparator/>
      </w:r>
    </w:p>
  </w:endnote>
  <w:endnote w:type="continuationNotice" w:id="1">
    <w:p w:rsidR="00CE7C7C" w:rsidRDefault="00CE7C7C" w14:paraId="26E18E7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Helvetica Neue">
    <w:altName w:val="Helvetica Neue"/>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leGrid"/>
      <w:tblW w:w="1080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4A0" w:firstRow="1" w:lastRow="0" w:firstColumn="1" w:lastColumn="0" w:noHBand="0" w:noVBand="1"/>
    </w:tblPr>
    <w:tblGrid>
      <w:gridCol w:w="10355"/>
      <w:gridCol w:w="448"/>
    </w:tblGrid>
    <w:tr w:rsidRPr="000806A6" w:rsidR="00A82555" w:rsidTr="003330AA" w14:paraId="7EFDEC1A" w14:textId="77777777">
      <w:trPr>
        <w:trHeight w:val="262"/>
      </w:trPr>
      <w:tc>
        <w:tcPr>
          <w:tcW w:w="10345" w:type="dxa"/>
          <w:shd w:val="clear" w:color="auto" w:fill="auto"/>
        </w:tcPr>
        <w:p w:rsidR="000806A6" w:rsidP="00A82555" w:rsidRDefault="003330AA" w14:paraId="41F20C20" w14:textId="77777777">
          <w:pPr>
            <w:pStyle w:val="Footer"/>
            <w:ind w:left="-115"/>
          </w:pPr>
          <w:r>
            <w:rPr>
              <w:noProof/>
            </w:rPr>
            <w:drawing>
              <wp:inline distT="0" distB="0" distL="0" distR="0" wp14:anchorId="2830BF93" wp14:editId="7132327B">
                <wp:extent cx="6511658" cy="224393"/>
                <wp:effectExtent l="0" t="0" r="0" b="0"/>
                <wp:docPr id="5" name="Picture 5" descr="C:\Users\Cameron\Desktop\Letterhead Foot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ameron\Desktop\Letterhead Foot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4595" cy="316158"/>
                        </a:xfrm>
                        <a:prstGeom prst="rect">
                          <a:avLst/>
                        </a:prstGeom>
                        <a:noFill/>
                        <a:ln>
                          <a:noFill/>
                        </a:ln>
                      </pic:spPr>
                    </pic:pic>
                  </a:graphicData>
                </a:graphic>
              </wp:inline>
            </w:drawing>
          </w:r>
        </w:p>
      </w:tc>
      <w:tc>
        <w:tcPr>
          <w:tcW w:w="458" w:type="dxa"/>
          <w:shd w:val="clear" w:color="auto" w:fill="auto"/>
        </w:tcPr>
        <w:p w:rsidRPr="00A82555" w:rsidR="000806A6" w:rsidP="00B47AB9" w:rsidRDefault="000806A6" w14:paraId="7DC80F3F" w14:textId="77777777">
          <w:pPr>
            <w:pStyle w:val="Footer"/>
            <w:rPr>
              <w:b/>
              <w:color w:val="2E6C88"/>
              <w:sz w:val="20"/>
            </w:rPr>
          </w:pPr>
          <w:r w:rsidRPr="00A82555">
            <w:rPr>
              <w:b/>
              <w:color w:val="1F4E79" w:themeColor="accent1" w:themeShade="80"/>
              <w:sz w:val="20"/>
            </w:rPr>
            <w:fldChar w:fldCharType="begin"/>
          </w:r>
          <w:r w:rsidRPr="00A82555">
            <w:rPr>
              <w:b/>
              <w:color w:val="1F4E79" w:themeColor="accent1" w:themeShade="80"/>
              <w:sz w:val="20"/>
            </w:rPr>
            <w:instrText xml:space="preserve"> PAGE   \* MERGEFORMAT </w:instrText>
          </w:r>
          <w:r w:rsidRPr="00A82555">
            <w:rPr>
              <w:b/>
              <w:color w:val="1F4E79" w:themeColor="accent1" w:themeShade="80"/>
              <w:sz w:val="20"/>
            </w:rPr>
            <w:fldChar w:fldCharType="separate"/>
          </w:r>
          <w:r w:rsidR="003603D7">
            <w:rPr>
              <w:b/>
              <w:noProof/>
              <w:color w:val="1F4E79" w:themeColor="accent1" w:themeShade="80"/>
              <w:sz w:val="20"/>
            </w:rPr>
            <w:t>2</w:t>
          </w:r>
          <w:r w:rsidRPr="00A82555">
            <w:rPr>
              <w:b/>
              <w:noProof/>
              <w:color w:val="1F4E79" w:themeColor="accent1" w:themeShade="80"/>
              <w:sz w:val="20"/>
            </w:rPr>
            <w:fldChar w:fldCharType="end"/>
          </w:r>
        </w:p>
      </w:tc>
    </w:tr>
  </w:tbl>
  <w:p w:rsidR="00361C13" w:rsidP="00B47AB9" w:rsidRDefault="00361C13" w14:paraId="6E57AA5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47AB9" w:rsidP="00B47AB9" w:rsidRDefault="00B64687" w14:paraId="021D6246" w14:textId="6DF70886">
    <w:pPr>
      <w:pStyle w:val="Footer"/>
      <w:ind w:left="-90"/>
    </w:pPr>
    <w:r>
      <w:rPr>
        <w:noProof/>
      </w:rPr>
      <w:drawing>
        <wp:inline distT="0" distB="0" distL="0" distR="0" wp14:anchorId="43844A25" wp14:editId="5254EA77">
          <wp:extent cx="6515100" cy="72174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515100" cy="72174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7C7C" w:rsidP="00875568" w:rsidRDefault="00CE7C7C" w14:paraId="63A95239" w14:textId="77777777">
      <w:pPr>
        <w:spacing w:after="0" w:line="240" w:lineRule="auto"/>
      </w:pPr>
      <w:r>
        <w:separator/>
      </w:r>
    </w:p>
  </w:footnote>
  <w:footnote w:type="continuationSeparator" w:id="0">
    <w:p w:rsidR="00CE7C7C" w:rsidP="00875568" w:rsidRDefault="00CE7C7C" w14:paraId="12E64CBC" w14:textId="77777777">
      <w:pPr>
        <w:spacing w:after="0" w:line="240" w:lineRule="auto"/>
      </w:pPr>
      <w:r>
        <w:continuationSeparator/>
      </w:r>
    </w:p>
  </w:footnote>
  <w:footnote w:type="continuationNotice" w:id="1">
    <w:p w:rsidR="00CE7C7C" w:rsidRDefault="00CE7C7C" w14:paraId="1CCB986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47AB9" w:rsidP="00D64AA0" w:rsidRDefault="0018626E" w14:paraId="7BBEE178" w14:textId="6F44A613">
    <w:pPr>
      <w:pStyle w:val="Header"/>
    </w:pPr>
    <w:r>
      <w:rPr>
        <w:noProof/>
      </w:rPr>
      <w:drawing>
        <wp:inline distT="0" distB="0" distL="0" distR="0" wp14:anchorId="37A42A7A" wp14:editId="3EE1F47D">
          <wp:extent cx="1343390" cy="502920"/>
          <wp:effectExtent l="0" t="0" r="9525"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2220" cy="5062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7DE8"/>
    <w:multiLevelType w:val="hybridMultilevel"/>
    <w:tmpl w:val="BEEA9D1A"/>
    <w:lvl w:ilvl="0" w:tplc="62BE6F4E">
      <w:start w:val="1"/>
      <w:numFmt w:val="bullet"/>
      <w:lvlText w:val=""/>
      <w:lvlJc w:val="left"/>
      <w:pPr>
        <w:ind w:left="720" w:hanging="360"/>
      </w:pPr>
      <w:rPr>
        <w:rFonts w:hint="default" w:ascii="Symbol" w:hAnsi="Symbol"/>
      </w:rPr>
    </w:lvl>
    <w:lvl w:ilvl="1" w:tplc="5E4640B8">
      <w:start w:val="1"/>
      <w:numFmt w:val="bullet"/>
      <w:lvlText w:val="o"/>
      <w:lvlJc w:val="left"/>
      <w:pPr>
        <w:ind w:left="1440" w:hanging="360"/>
      </w:pPr>
      <w:rPr>
        <w:rFonts w:hint="default" w:ascii="Courier New" w:hAnsi="Courier New"/>
      </w:rPr>
    </w:lvl>
    <w:lvl w:ilvl="2" w:tplc="23B2B1EC">
      <w:start w:val="1"/>
      <w:numFmt w:val="bullet"/>
      <w:lvlText w:val=""/>
      <w:lvlJc w:val="left"/>
      <w:pPr>
        <w:ind w:left="2160" w:hanging="360"/>
      </w:pPr>
      <w:rPr>
        <w:rFonts w:hint="default" w:ascii="Wingdings" w:hAnsi="Wingdings"/>
      </w:rPr>
    </w:lvl>
    <w:lvl w:ilvl="3" w:tplc="38046A9C">
      <w:start w:val="1"/>
      <w:numFmt w:val="bullet"/>
      <w:lvlText w:val=""/>
      <w:lvlJc w:val="left"/>
      <w:pPr>
        <w:ind w:left="2880" w:hanging="360"/>
      </w:pPr>
      <w:rPr>
        <w:rFonts w:hint="default" w:ascii="Symbol" w:hAnsi="Symbol"/>
      </w:rPr>
    </w:lvl>
    <w:lvl w:ilvl="4" w:tplc="8028F37C">
      <w:start w:val="1"/>
      <w:numFmt w:val="bullet"/>
      <w:lvlText w:val="o"/>
      <w:lvlJc w:val="left"/>
      <w:pPr>
        <w:ind w:left="3600" w:hanging="360"/>
      </w:pPr>
      <w:rPr>
        <w:rFonts w:hint="default" w:ascii="Courier New" w:hAnsi="Courier New"/>
      </w:rPr>
    </w:lvl>
    <w:lvl w:ilvl="5" w:tplc="83862922">
      <w:start w:val="1"/>
      <w:numFmt w:val="bullet"/>
      <w:lvlText w:val=""/>
      <w:lvlJc w:val="left"/>
      <w:pPr>
        <w:ind w:left="4320" w:hanging="360"/>
      </w:pPr>
      <w:rPr>
        <w:rFonts w:hint="default" w:ascii="Wingdings" w:hAnsi="Wingdings"/>
      </w:rPr>
    </w:lvl>
    <w:lvl w:ilvl="6" w:tplc="58FC51CC">
      <w:start w:val="1"/>
      <w:numFmt w:val="bullet"/>
      <w:lvlText w:val=""/>
      <w:lvlJc w:val="left"/>
      <w:pPr>
        <w:ind w:left="5040" w:hanging="360"/>
      </w:pPr>
      <w:rPr>
        <w:rFonts w:hint="default" w:ascii="Symbol" w:hAnsi="Symbol"/>
      </w:rPr>
    </w:lvl>
    <w:lvl w:ilvl="7" w:tplc="53649B5E">
      <w:start w:val="1"/>
      <w:numFmt w:val="bullet"/>
      <w:lvlText w:val="o"/>
      <w:lvlJc w:val="left"/>
      <w:pPr>
        <w:ind w:left="5760" w:hanging="360"/>
      </w:pPr>
      <w:rPr>
        <w:rFonts w:hint="default" w:ascii="Courier New" w:hAnsi="Courier New"/>
      </w:rPr>
    </w:lvl>
    <w:lvl w:ilvl="8" w:tplc="E6C80A7E">
      <w:start w:val="1"/>
      <w:numFmt w:val="bullet"/>
      <w:lvlText w:val=""/>
      <w:lvlJc w:val="left"/>
      <w:pPr>
        <w:ind w:left="6480" w:hanging="360"/>
      </w:pPr>
      <w:rPr>
        <w:rFonts w:hint="default" w:ascii="Wingdings" w:hAnsi="Wingdings"/>
      </w:rPr>
    </w:lvl>
  </w:abstractNum>
  <w:abstractNum w:abstractNumId="1" w15:restartNumberingAfterBreak="0">
    <w:nsid w:val="16C07D4B"/>
    <w:multiLevelType w:val="hybridMultilevel"/>
    <w:tmpl w:val="F04055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8503084"/>
    <w:multiLevelType w:val="multilevel"/>
    <w:tmpl w:val="E1645E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99A1577"/>
    <w:multiLevelType w:val="multilevel"/>
    <w:tmpl w:val="4DF659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4C62C4A"/>
    <w:multiLevelType w:val="hybridMultilevel"/>
    <w:tmpl w:val="B830AC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3445611"/>
    <w:multiLevelType w:val="multilevel"/>
    <w:tmpl w:val="142AE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46F1458"/>
    <w:multiLevelType w:val="multilevel"/>
    <w:tmpl w:val="7268A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491270E"/>
    <w:multiLevelType w:val="hybridMultilevel"/>
    <w:tmpl w:val="0C3CB4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51898561">
    <w:abstractNumId w:val="0"/>
  </w:num>
  <w:num w:numId="2" w16cid:durableId="295720707">
    <w:abstractNumId w:val="4"/>
  </w:num>
  <w:num w:numId="3" w16cid:durableId="1795978120">
    <w:abstractNumId w:val="7"/>
  </w:num>
  <w:num w:numId="4" w16cid:durableId="2058308947">
    <w:abstractNumId w:val="3"/>
  </w:num>
  <w:num w:numId="5" w16cid:durableId="244925433">
    <w:abstractNumId w:val="2"/>
  </w:num>
  <w:num w:numId="6" w16cid:durableId="1338389135">
    <w:abstractNumId w:val="5"/>
  </w:num>
  <w:num w:numId="7" w16cid:durableId="314720176">
    <w:abstractNumId w:val="6"/>
  </w:num>
  <w:num w:numId="8" w16cid:durableId="50467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W0NDYxMDEyMzQxMjRT0lEKTi0uzszPAykwrQUApnSygSwAAAA="/>
  </w:docVars>
  <w:rsids>
    <w:rsidRoot w:val="00875568"/>
    <w:rsid w:val="00023051"/>
    <w:rsid w:val="00047B63"/>
    <w:rsid w:val="00050B5F"/>
    <w:rsid w:val="00066EF7"/>
    <w:rsid w:val="00072FDE"/>
    <w:rsid w:val="000806A6"/>
    <w:rsid w:val="0009280C"/>
    <w:rsid w:val="000A0C98"/>
    <w:rsid w:val="000A25CD"/>
    <w:rsid w:val="000B31A0"/>
    <w:rsid w:val="000B45FC"/>
    <w:rsid w:val="000B5BF9"/>
    <w:rsid w:val="000D4801"/>
    <w:rsid w:val="000D5BDD"/>
    <w:rsid w:val="000D674C"/>
    <w:rsid w:val="000E3F86"/>
    <w:rsid w:val="0010732A"/>
    <w:rsid w:val="00107A81"/>
    <w:rsid w:val="00113C70"/>
    <w:rsid w:val="0012412D"/>
    <w:rsid w:val="001366D4"/>
    <w:rsid w:val="00136814"/>
    <w:rsid w:val="00140739"/>
    <w:rsid w:val="00145688"/>
    <w:rsid w:val="001508EB"/>
    <w:rsid w:val="001534A3"/>
    <w:rsid w:val="00164F47"/>
    <w:rsid w:val="00171C01"/>
    <w:rsid w:val="0018626E"/>
    <w:rsid w:val="001A64DE"/>
    <w:rsid w:val="001B6E17"/>
    <w:rsid w:val="001C617C"/>
    <w:rsid w:val="001D3A28"/>
    <w:rsid w:val="001E0C2D"/>
    <w:rsid w:val="001E3F75"/>
    <w:rsid w:val="001E52DA"/>
    <w:rsid w:val="001E699D"/>
    <w:rsid w:val="001F0205"/>
    <w:rsid w:val="001F263D"/>
    <w:rsid w:val="00231784"/>
    <w:rsid w:val="00260CC2"/>
    <w:rsid w:val="00272535"/>
    <w:rsid w:val="00292673"/>
    <w:rsid w:val="002935AA"/>
    <w:rsid w:val="002A0389"/>
    <w:rsid w:val="002A223C"/>
    <w:rsid w:val="002A27AA"/>
    <w:rsid w:val="002A730F"/>
    <w:rsid w:val="002B292B"/>
    <w:rsid w:val="002C2136"/>
    <w:rsid w:val="002C31E1"/>
    <w:rsid w:val="002D0740"/>
    <w:rsid w:val="002D65B7"/>
    <w:rsid w:val="002E020E"/>
    <w:rsid w:val="002F13BD"/>
    <w:rsid w:val="00302570"/>
    <w:rsid w:val="003221F2"/>
    <w:rsid w:val="00324BEF"/>
    <w:rsid w:val="0032644D"/>
    <w:rsid w:val="00327E9B"/>
    <w:rsid w:val="00331389"/>
    <w:rsid w:val="003327CA"/>
    <w:rsid w:val="003330AA"/>
    <w:rsid w:val="00333FCF"/>
    <w:rsid w:val="00337D6E"/>
    <w:rsid w:val="00341CD6"/>
    <w:rsid w:val="0034268A"/>
    <w:rsid w:val="003558F0"/>
    <w:rsid w:val="003603D7"/>
    <w:rsid w:val="00361C13"/>
    <w:rsid w:val="00362746"/>
    <w:rsid w:val="003752CC"/>
    <w:rsid w:val="003848DF"/>
    <w:rsid w:val="00387B73"/>
    <w:rsid w:val="003A265B"/>
    <w:rsid w:val="003A7B4B"/>
    <w:rsid w:val="003B1F2D"/>
    <w:rsid w:val="003B3D85"/>
    <w:rsid w:val="003B63DE"/>
    <w:rsid w:val="003B6EEE"/>
    <w:rsid w:val="003D0AE6"/>
    <w:rsid w:val="003D2812"/>
    <w:rsid w:val="003D70BF"/>
    <w:rsid w:val="003E2B4B"/>
    <w:rsid w:val="003E3F78"/>
    <w:rsid w:val="00416568"/>
    <w:rsid w:val="00433196"/>
    <w:rsid w:val="00442B42"/>
    <w:rsid w:val="004505CA"/>
    <w:rsid w:val="00453DFE"/>
    <w:rsid w:val="00481F05"/>
    <w:rsid w:val="0048457A"/>
    <w:rsid w:val="00491AED"/>
    <w:rsid w:val="004A3954"/>
    <w:rsid w:val="004C3EED"/>
    <w:rsid w:val="004D46A6"/>
    <w:rsid w:val="004F240A"/>
    <w:rsid w:val="004F2993"/>
    <w:rsid w:val="004F5A9C"/>
    <w:rsid w:val="00514D0E"/>
    <w:rsid w:val="0052174F"/>
    <w:rsid w:val="0053056C"/>
    <w:rsid w:val="00537E81"/>
    <w:rsid w:val="005402C5"/>
    <w:rsid w:val="005404A2"/>
    <w:rsid w:val="0054558B"/>
    <w:rsid w:val="00587636"/>
    <w:rsid w:val="0059117A"/>
    <w:rsid w:val="005951C2"/>
    <w:rsid w:val="005953B5"/>
    <w:rsid w:val="005A0B34"/>
    <w:rsid w:val="005A334E"/>
    <w:rsid w:val="005B5A07"/>
    <w:rsid w:val="005C5A72"/>
    <w:rsid w:val="005D1E8E"/>
    <w:rsid w:val="005D243F"/>
    <w:rsid w:val="005E4B00"/>
    <w:rsid w:val="005F030E"/>
    <w:rsid w:val="006073DF"/>
    <w:rsid w:val="00623E0A"/>
    <w:rsid w:val="006350C7"/>
    <w:rsid w:val="00644A78"/>
    <w:rsid w:val="00654E2C"/>
    <w:rsid w:val="0065537F"/>
    <w:rsid w:val="00656A7E"/>
    <w:rsid w:val="00681E5D"/>
    <w:rsid w:val="006A10A6"/>
    <w:rsid w:val="006A1E26"/>
    <w:rsid w:val="006B67D4"/>
    <w:rsid w:val="006C1D64"/>
    <w:rsid w:val="006D1CF8"/>
    <w:rsid w:val="006F548C"/>
    <w:rsid w:val="006F563A"/>
    <w:rsid w:val="00704E33"/>
    <w:rsid w:val="007074C3"/>
    <w:rsid w:val="00712EB6"/>
    <w:rsid w:val="00733379"/>
    <w:rsid w:val="007430F1"/>
    <w:rsid w:val="00750339"/>
    <w:rsid w:val="00782112"/>
    <w:rsid w:val="00795353"/>
    <w:rsid w:val="007A3072"/>
    <w:rsid w:val="007C0555"/>
    <w:rsid w:val="007C61B6"/>
    <w:rsid w:val="007C6658"/>
    <w:rsid w:val="007E0377"/>
    <w:rsid w:val="007F29DC"/>
    <w:rsid w:val="007F3980"/>
    <w:rsid w:val="007F64AF"/>
    <w:rsid w:val="008100D8"/>
    <w:rsid w:val="00813F73"/>
    <w:rsid w:val="0082673C"/>
    <w:rsid w:val="008404FF"/>
    <w:rsid w:val="0085681E"/>
    <w:rsid w:val="00857D56"/>
    <w:rsid w:val="00861C01"/>
    <w:rsid w:val="008705CB"/>
    <w:rsid w:val="00871080"/>
    <w:rsid w:val="00875568"/>
    <w:rsid w:val="00881B59"/>
    <w:rsid w:val="008914CB"/>
    <w:rsid w:val="00892019"/>
    <w:rsid w:val="00893BC2"/>
    <w:rsid w:val="008B0064"/>
    <w:rsid w:val="008B120E"/>
    <w:rsid w:val="008B5E73"/>
    <w:rsid w:val="008C2699"/>
    <w:rsid w:val="008C2BBE"/>
    <w:rsid w:val="008D42A9"/>
    <w:rsid w:val="008E03F1"/>
    <w:rsid w:val="008E5713"/>
    <w:rsid w:val="008F5A19"/>
    <w:rsid w:val="0091158A"/>
    <w:rsid w:val="0092662A"/>
    <w:rsid w:val="0092693F"/>
    <w:rsid w:val="009337CD"/>
    <w:rsid w:val="00937098"/>
    <w:rsid w:val="00941CF0"/>
    <w:rsid w:val="0098002B"/>
    <w:rsid w:val="00987215"/>
    <w:rsid w:val="009872AF"/>
    <w:rsid w:val="009932EE"/>
    <w:rsid w:val="00996B7D"/>
    <w:rsid w:val="009A7EDF"/>
    <w:rsid w:val="009B1CFD"/>
    <w:rsid w:val="009C4963"/>
    <w:rsid w:val="009E052E"/>
    <w:rsid w:val="009F398A"/>
    <w:rsid w:val="00A00787"/>
    <w:rsid w:val="00A05C28"/>
    <w:rsid w:val="00A12A8F"/>
    <w:rsid w:val="00A26653"/>
    <w:rsid w:val="00A34710"/>
    <w:rsid w:val="00A70FBC"/>
    <w:rsid w:val="00A75202"/>
    <w:rsid w:val="00A806B0"/>
    <w:rsid w:val="00A82555"/>
    <w:rsid w:val="00A97443"/>
    <w:rsid w:val="00A974D2"/>
    <w:rsid w:val="00AB678E"/>
    <w:rsid w:val="00AB798B"/>
    <w:rsid w:val="00B078AC"/>
    <w:rsid w:val="00B15D4D"/>
    <w:rsid w:val="00B242E8"/>
    <w:rsid w:val="00B30B2B"/>
    <w:rsid w:val="00B37B67"/>
    <w:rsid w:val="00B4022D"/>
    <w:rsid w:val="00B44301"/>
    <w:rsid w:val="00B464F5"/>
    <w:rsid w:val="00B47AB9"/>
    <w:rsid w:val="00B51FFE"/>
    <w:rsid w:val="00B53488"/>
    <w:rsid w:val="00B64687"/>
    <w:rsid w:val="00B70184"/>
    <w:rsid w:val="00B8242C"/>
    <w:rsid w:val="00B83C09"/>
    <w:rsid w:val="00B926EE"/>
    <w:rsid w:val="00BC37C5"/>
    <w:rsid w:val="00BF046B"/>
    <w:rsid w:val="00BF7208"/>
    <w:rsid w:val="00C06B90"/>
    <w:rsid w:val="00C24ADF"/>
    <w:rsid w:val="00C30800"/>
    <w:rsid w:val="00C56FB4"/>
    <w:rsid w:val="00C84770"/>
    <w:rsid w:val="00C853E1"/>
    <w:rsid w:val="00C92F26"/>
    <w:rsid w:val="00CA2F6C"/>
    <w:rsid w:val="00CA75E8"/>
    <w:rsid w:val="00CB739C"/>
    <w:rsid w:val="00CB7CFC"/>
    <w:rsid w:val="00CC3FD1"/>
    <w:rsid w:val="00CD284A"/>
    <w:rsid w:val="00CD3BB2"/>
    <w:rsid w:val="00CE7C7C"/>
    <w:rsid w:val="00CF00A9"/>
    <w:rsid w:val="00CF1ADE"/>
    <w:rsid w:val="00CF2629"/>
    <w:rsid w:val="00CF2D96"/>
    <w:rsid w:val="00D10BD4"/>
    <w:rsid w:val="00D3173B"/>
    <w:rsid w:val="00D31CAE"/>
    <w:rsid w:val="00D352BA"/>
    <w:rsid w:val="00D40C1D"/>
    <w:rsid w:val="00D446FF"/>
    <w:rsid w:val="00D615ED"/>
    <w:rsid w:val="00D62F93"/>
    <w:rsid w:val="00D64AA0"/>
    <w:rsid w:val="00D6624E"/>
    <w:rsid w:val="00D662A8"/>
    <w:rsid w:val="00D73625"/>
    <w:rsid w:val="00D8325E"/>
    <w:rsid w:val="00DD0BB9"/>
    <w:rsid w:val="00DF0641"/>
    <w:rsid w:val="00DF45F6"/>
    <w:rsid w:val="00E12EF8"/>
    <w:rsid w:val="00E35FCB"/>
    <w:rsid w:val="00E52575"/>
    <w:rsid w:val="00E85656"/>
    <w:rsid w:val="00E8654B"/>
    <w:rsid w:val="00E924EC"/>
    <w:rsid w:val="00E92B4E"/>
    <w:rsid w:val="00E97844"/>
    <w:rsid w:val="00EA27F0"/>
    <w:rsid w:val="00EA75C6"/>
    <w:rsid w:val="00EB1267"/>
    <w:rsid w:val="00EC6B77"/>
    <w:rsid w:val="00ED0D55"/>
    <w:rsid w:val="00EF5BE4"/>
    <w:rsid w:val="00EF5CCD"/>
    <w:rsid w:val="00F12C55"/>
    <w:rsid w:val="00F14D4B"/>
    <w:rsid w:val="00F348F7"/>
    <w:rsid w:val="00F36B00"/>
    <w:rsid w:val="00F47370"/>
    <w:rsid w:val="00F60150"/>
    <w:rsid w:val="00F60936"/>
    <w:rsid w:val="00F64A97"/>
    <w:rsid w:val="00F9635E"/>
    <w:rsid w:val="00FA282F"/>
    <w:rsid w:val="00FB0C04"/>
    <w:rsid w:val="00FB1D31"/>
    <w:rsid w:val="00FB289D"/>
    <w:rsid w:val="00FC031B"/>
    <w:rsid w:val="00FC0BDE"/>
    <w:rsid w:val="00FD2B38"/>
    <w:rsid w:val="00FE1D70"/>
    <w:rsid w:val="00FE52BF"/>
    <w:rsid w:val="00FE5B3D"/>
    <w:rsid w:val="00FE7688"/>
    <w:rsid w:val="00FF0D97"/>
    <w:rsid w:val="00FF1AC4"/>
    <w:rsid w:val="00FF3224"/>
    <w:rsid w:val="0109023A"/>
    <w:rsid w:val="0287794C"/>
    <w:rsid w:val="07247E21"/>
    <w:rsid w:val="07B12D62"/>
    <w:rsid w:val="0FDC1EAA"/>
    <w:rsid w:val="1363BA3F"/>
    <w:rsid w:val="14E85382"/>
    <w:rsid w:val="1582910D"/>
    <w:rsid w:val="183B48D8"/>
    <w:rsid w:val="186A60D2"/>
    <w:rsid w:val="18DB5864"/>
    <w:rsid w:val="19C6BF1D"/>
    <w:rsid w:val="1A063133"/>
    <w:rsid w:val="1AE0EFD2"/>
    <w:rsid w:val="1B86F20C"/>
    <w:rsid w:val="1CC7262B"/>
    <w:rsid w:val="1FAEAD46"/>
    <w:rsid w:val="23576A94"/>
    <w:rsid w:val="24767798"/>
    <w:rsid w:val="25DFB671"/>
    <w:rsid w:val="2775F72C"/>
    <w:rsid w:val="2798F3E3"/>
    <w:rsid w:val="2D89913F"/>
    <w:rsid w:val="2DFF8A47"/>
    <w:rsid w:val="2ED8FBA3"/>
    <w:rsid w:val="305BA3A7"/>
    <w:rsid w:val="307445CF"/>
    <w:rsid w:val="33AC6CC6"/>
    <w:rsid w:val="352F14CA"/>
    <w:rsid w:val="394E59C3"/>
    <w:rsid w:val="3AF3EB00"/>
    <w:rsid w:val="3AF648E0"/>
    <w:rsid w:val="3C8A2BBB"/>
    <w:rsid w:val="3EFC8163"/>
    <w:rsid w:val="3F17FACA"/>
    <w:rsid w:val="4329E3EE"/>
    <w:rsid w:val="447FDEFB"/>
    <w:rsid w:val="449D2B26"/>
    <w:rsid w:val="45E479FE"/>
    <w:rsid w:val="47533656"/>
    <w:rsid w:val="47BBA38B"/>
    <w:rsid w:val="48C3830E"/>
    <w:rsid w:val="4B80E909"/>
    <w:rsid w:val="4C8F14AE"/>
    <w:rsid w:val="5A791090"/>
    <w:rsid w:val="5A80194C"/>
    <w:rsid w:val="5C6B836A"/>
    <w:rsid w:val="65EFEC16"/>
    <w:rsid w:val="68DBAE12"/>
    <w:rsid w:val="69FC2AB3"/>
    <w:rsid w:val="6B277967"/>
    <w:rsid w:val="726EF7A1"/>
    <w:rsid w:val="72715581"/>
    <w:rsid w:val="74C7104F"/>
    <w:rsid w:val="753D0957"/>
    <w:rsid w:val="75ABD201"/>
    <w:rsid w:val="782DCAFC"/>
    <w:rsid w:val="78777116"/>
    <w:rsid w:val="7AD957C2"/>
    <w:rsid w:val="7D996A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1E4F0"/>
  <w15:chartTrackingRefBased/>
  <w15:docId w15:val="{A8EFFF5F-265F-46FD-9BBE-9614B3AA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75568"/>
    <w:pPr>
      <w:tabs>
        <w:tab w:val="center" w:pos="4680"/>
        <w:tab w:val="right" w:pos="9360"/>
      </w:tabs>
      <w:spacing w:after="0" w:line="240" w:lineRule="auto"/>
    </w:pPr>
  </w:style>
  <w:style w:type="character" w:styleId="HeaderChar" w:customStyle="1">
    <w:name w:val="Header Char"/>
    <w:basedOn w:val="DefaultParagraphFont"/>
    <w:link w:val="Header"/>
    <w:uiPriority w:val="99"/>
    <w:rsid w:val="00875568"/>
  </w:style>
  <w:style w:type="paragraph" w:styleId="Footer">
    <w:name w:val="footer"/>
    <w:basedOn w:val="Normal"/>
    <w:link w:val="FooterChar"/>
    <w:uiPriority w:val="99"/>
    <w:unhideWhenUsed/>
    <w:qFormat/>
    <w:rsid w:val="00875568"/>
    <w:pPr>
      <w:tabs>
        <w:tab w:val="center" w:pos="4680"/>
        <w:tab w:val="right" w:pos="9360"/>
      </w:tabs>
      <w:spacing w:after="0" w:line="240" w:lineRule="auto"/>
    </w:pPr>
  </w:style>
  <w:style w:type="character" w:styleId="FooterChar" w:customStyle="1">
    <w:name w:val="Footer Char"/>
    <w:basedOn w:val="DefaultParagraphFont"/>
    <w:link w:val="Footer"/>
    <w:uiPriority w:val="99"/>
    <w:rsid w:val="00875568"/>
  </w:style>
  <w:style w:type="paragraph" w:styleId="NoSpacing">
    <w:name w:val="No Spacing"/>
    <w:uiPriority w:val="1"/>
    <w:qFormat/>
    <w:rsid w:val="00875568"/>
    <w:pPr>
      <w:spacing w:after="0" w:line="240" w:lineRule="auto"/>
    </w:pPr>
  </w:style>
  <w:style w:type="table" w:styleId="TableGrid">
    <w:name w:val="Table Grid"/>
    <w:basedOn w:val="TableNormal"/>
    <w:uiPriority w:val="39"/>
    <w:rsid w:val="000806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3330A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330AA"/>
    <w:rPr>
      <w:rFonts w:ascii="Segoe UI" w:hAnsi="Segoe UI" w:cs="Segoe UI"/>
      <w:sz w:val="18"/>
      <w:szCs w:val="18"/>
    </w:rPr>
  </w:style>
  <w:style w:type="paragraph" w:styleId="BasicParagraph" w:customStyle="1">
    <w:name w:val="[Basic Paragraph]"/>
    <w:basedOn w:val="Normal"/>
    <w:uiPriority w:val="99"/>
    <w:rsid w:val="00B30B2B"/>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rsid w:val="0010732A"/>
    <w:rPr>
      <w:u w:val="single"/>
    </w:rPr>
  </w:style>
  <w:style w:type="paragraph" w:styleId="Body" w:customStyle="1">
    <w:name w:val="Body"/>
    <w:rsid w:val="0010732A"/>
    <w:pPr>
      <w:pBdr>
        <w:top w:val="nil"/>
        <w:left w:val="nil"/>
        <w:bottom w:val="nil"/>
        <w:right w:val="nil"/>
        <w:between w:val="nil"/>
        <w:bar w:val="nil"/>
      </w:pBdr>
      <w:spacing w:after="0" w:line="240" w:lineRule="auto"/>
    </w:pPr>
    <w:rPr>
      <w:rFonts w:ascii="Helvetica Neue" w:hAnsi="Helvetica Neue" w:eastAsia="Arial Unicode MS" w:cs="Arial Unicode MS"/>
      <w:color w:val="000000"/>
      <w:bdr w:val="nil"/>
    </w:rPr>
  </w:style>
  <w:style w:type="character" w:styleId="Hyperlink0" w:customStyle="1">
    <w:name w:val="Hyperlink.0"/>
    <w:basedOn w:val="Hyperlink"/>
    <w:rsid w:val="0010732A"/>
    <w:rPr>
      <w:u w:val="single"/>
    </w:rPr>
  </w:style>
  <w:style w:type="paragraph" w:styleId="Default" w:customStyle="1">
    <w:name w:val="Default"/>
    <w:rsid w:val="0010732A"/>
    <w:pPr>
      <w:pBdr>
        <w:top w:val="nil"/>
        <w:left w:val="nil"/>
        <w:bottom w:val="nil"/>
        <w:right w:val="nil"/>
        <w:between w:val="nil"/>
        <w:bar w:val="nil"/>
      </w:pBdr>
      <w:spacing w:after="0" w:line="240" w:lineRule="auto"/>
    </w:pPr>
    <w:rPr>
      <w:rFonts w:ascii="Helvetica Neue" w:hAnsi="Helvetica Neue" w:eastAsia="Arial Unicode MS" w:cs="Arial Unicode MS"/>
      <w:color w:val="000000"/>
      <w:bdr w:val="nil"/>
    </w:rPr>
  </w:style>
  <w:style w:type="character" w:styleId="UnresolvedMention">
    <w:name w:val="Unresolved Mention"/>
    <w:basedOn w:val="DefaultParagraphFont"/>
    <w:uiPriority w:val="99"/>
    <w:semiHidden/>
    <w:unhideWhenUsed/>
    <w:rsid w:val="003603D7"/>
    <w:rPr>
      <w:color w:val="808080"/>
      <w:shd w:val="clear" w:color="auto" w:fill="E6E6E6"/>
    </w:rPr>
  </w:style>
  <w:style w:type="character" w:styleId="FollowedHyperlink">
    <w:name w:val="FollowedHyperlink"/>
    <w:basedOn w:val="DefaultParagraphFont"/>
    <w:uiPriority w:val="99"/>
    <w:semiHidden/>
    <w:unhideWhenUsed/>
    <w:rsid w:val="003603D7"/>
    <w:rPr>
      <w:color w:val="954F72" w:themeColor="followedHyperlink"/>
      <w:u w:val="single"/>
    </w:rPr>
  </w:style>
  <w:style w:type="character" w:styleId="CommentReference">
    <w:name w:val="annotation reference"/>
    <w:basedOn w:val="DefaultParagraphFont"/>
    <w:uiPriority w:val="99"/>
    <w:semiHidden/>
    <w:unhideWhenUsed/>
    <w:rsid w:val="001E0C2D"/>
    <w:rPr>
      <w:sz w:val="16"/>
      <w:szCs w:val="16"/>
    </w:rPr>
  </w:style>
  <w:style w:type="paragraph" w:styleId="CommentText">
    <w:name w:val="annotation text"/>
    <w:basedOn w:val="Normal"/>
    <w:link w:val="CommentTextChar"/>
    <w:uiPriority w:val="99"/>
    <w:unhideWhenUsed/>
    <w:rsid w:val="001E0C2D"/>
    <w:pPr>
      <w:spacing w:line="240" w:lineRule="auto"/>
    </w:pPr>
    <w:rPr>
      <w:sz w:val="20"/>
      <w:szCs w:val="20"/>
    </w:rPr>
  </w:style>
  <w:style w:type="character" w:styleId="CommentTextChar" w:customStyle="1">
    <w:name w:val="Comment Text Char"/>
    <w:basedOn w:val="DefaultParagraphFont"/>
    <w:link w:val="CommentText"/>
    <w:uiPriority w:val="99"/>
    <w:rsid w:val="001E0C2D"/>
    <w:rPr>
      <w:sz w:val="20"/>
      <w:szCs w:val="20"/>
    </w:rPr>
  </w:style>
  <w:style w:type="paragraph" w:styleId="CommentSubject">
    <w:name w:val="annotation subject"/>
    <w:basedOn w:val="CommentText"/>
    <w:next w:val="CommentText"/>
    <w:link w:val="CommentSubjectChar"/>
    <w:uiPriority w:val="99"/>
    <w:semiHidden/>
    <w:unhideWhenUsed/>
    <w:rsid w:val="001E0C2D"/>
    <w:rPr>
      <w:b/>
      <w:bCs/>
    </w:rPr>
  </w:style>
  <w:style w:type="character" w:styleId="CommentSubjectChar" w:customStyle="1">
    <w:name w:val="Comment Subject Char"/>
    <w:basedOn w:val="CommentTextChar"/>
    <w:link w:val="CommentSubject"/>
    <w:uiPriority w:val="99"/>
    <w:semiHidden/>
    <w:rsid w:val="001E0C2D"/>
    <w:rPr>
      <w:b/>
      <w:bCs/>
      <w:sz w:val="20"/>
      <w:szCs w:val="20"/>
    </w:rPr>
  </w:style>
  <w:style w:type="paragraph" w:styleId="FootnoteText">
    <w:name w:val="footnote text"/>
    <w:basedOn w:val="Normal"/>
    <w:link w:val="FootnoteTextChar"/>
    <w:uiPriority w:val="99"/>
    <w:semiHidden/>
    <w:unhideWhenUsed/>
    <w:rsid w:val="00813F73"/>
    <w:pPr>
      <w:spacing w:after="0" w:line="240" w:lineRule="auto"/>
    </w:pPr>
    <w:rPr>
      <w:rFonts w:ascii="Ebrima" w:hAnsi="Ebrima"/>
      <w:sz w:val="20"/>
      <w:szCs w:val="20"/>
    </w:rPr>
  </w:style>
  <w:style w:type="character" w:styleId="FootnoteTextChar" w:customStyle="1">
    <w:name w:val="Footnote Text Char"/>
    <w:basedOn w:val="DefaultParagraphFont"/>
    <w:link w:val="FootnoteText"/>
    <w:uiPriority w:val="99"/>
    <w:semiHidden/>
    <w:rsid w:val="00813F73"/>
    <w:rPr>
      <w:rFonts w:ascii="Ebrima" w:hAnsi="Ebrima"/>
      <w:sz w:val="20"/>
      <w:szCs w:val="20"/>
    </w:rPr>
  </w:style>
  <w:style w:type="character" w:styleId="FootnoteReference">
    <w:name w:val="footnote reference"/>
    <w:basedOn w:val="DefaultParagraphFont"/>
    <w:uiPriority w:val="99"/>
    <w:semiHidden/>
    <w:unhideWhenUsed/>
    <w:rsid w:val="00813F73"/>
    <w:rPr>
      <w:vertAlign w:val="superscript"/>
    </w:rPr>
  </w:style>
  <w:style w:type="paragraph" w:styleId="Revision">
    <w:name w:val="Revision"/>
    <w:hidden/>
    <w:uiPriority w:val="99"/>
    <w:semiHidden/>
    <w:rsid w:val="00644A78"/>
    <w:pPr>
      <w:spacing w:after="0" w:line="240" w:lineRule="auto"/>
    </w:p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7E0377"/>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styleId="apple-converted-space" w:customStyle="1">
    <w:name w:val="apple-converted-space"/>
    <w:basedOn w:val="DefaultParagraphFont"/>
    <w:rsid w:val="007E0377"/>
  </w:style>
  <w:style w:type="paragraph" w:styleId="paragraph" w:customStyle="1">
    <w:name w:val="paragraph"/>
    <w:basedOn w:val="Normal"/>
    <w:rsid w:val="00B926EE"/>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styleId="normaltextrun" w:customStyle="1">
    <w:name w:val="normaltextrun"/>
    <w:basedOn w:val="DefaultParagraphFont"/>
    <w:rsid w:val="00B926EE"/>
  </w:style>
  <w:style w:type="character" w:styleId="eop" w:customStyle="1">
    <w:name w:val="eop"/>
    <w:basedOn w:val="DefaultParagraphFont"/>
    <w:rsid w:val="00B926EE"/>
  </w:style>
  <w:style w:type="character" w:styleId="Strong">
    <w:name w:val="Strong"/>
    <w:basedOn w:val="DefaultParagraphFont"/>
    <w:uiPriority w:val="22"/>
    <w:qFormat/>
    <w:rsid w:val="00066EF7"/>
    <w:rPr>
      <w:b/>
      <w:bCs/>
    </w:rPr>
  </w:style>
  <w:style w:type="character" w:styleId="Emphasis">
    <w:name w:val="Emphasis"/>
    <w:basedOn w:val="DefaultParagraphFont"/>
    <w:uiPriority w:val="20"/>
    <w:qFormat/>
    <w:rsid w:val="00066EF7"/>
    <w:rPr>
      <w:i/>
      <w:iCs/>
    </w:rPr>
  </w:style>
  <w:style w:type="paragraph" w:styleId="ql-indent-1" w:customStyle="1">
    <w:name w:val="ql-indent-1"/>
    <w:basedOn w:val="Normal"/>
    <w:rsid w:val="00171C01"/>
    <w:pPr>
      <w:spacing w:before="100" w:beforeAutospacing="1" w:after="100" w:afterAutospacing="1" w:line="240" w:lineRule="auto"/>
    </w:pPr>
    <w:rPr>
      <w:rFonts w:ascii="Times New Roman" w:hAnsi="Times New Roman" w:eastAsia="Times New Roman" w:cs="Times New Roman"/>
      <w:sz w:val="24"/>
      <w:szCs w:val="24"/>
      <w:lang w:eastAsia="zh-CN"/>
    </w:rPr>
  </w:style>
  <w:style w:type="paragraph" w:styleId="ql-indent-2" w:customStyle="1">
    <w:name w:val="ql-indent-2"/>
    <w:basedOn w:val="Normal"/>
    <w:rsid w:val="00171C01"/>
    <w:pPr>
      <w:spacing w:before="100" w:beforeAutospacing="1" w:after="100" w:afterAutospacing="1" w:line="240" w:lineRule="auto"/>
    </w:pPr>
    <w:rPr>
      <w:rFonts w:ascii="Times New Roman" w:hAnsi="Times New Roman" w:eastAsia="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97715">
      <w:bodyDiv w:val="1"/>
      <w:marLeft w:val="0"/>
      <w:marRight w:val="0"/>
      <w:marTop w:val="0"/>
      <w:marBottom w:val="0"/>
      <w:divBdr>
        <w:top w:val="none" w:sz="0" w:space="0" w:color="auto"/>
        <w:left w:val="none" w:sz="0" w:space="0" w:color="auto"/>
        <w:bottom w:val="none" w:sz="0" w:space="0" w:color="auto"/>
        <w:right w:val="none" w:sz="0" w:space="0" w:color="auto"/>
      </w:divBdr>
    </w:div>
    <w:div w:id="219752752">
      <w:bodyDiv w:val="1"/>
      <w:marLeft w:val="0"/>
      <w:marRight w:val="0"/>
      <w:marTop w:val="0"/>
      <w:marBottom w:val="0"/>
      <w:divBdr>
        <w:top w:val="none" w:sz="0" w:space="0" w:color="auto"/>
        <w:left w:val="none" w:sz="0" w:space="0" w:color="auto"/>
        <w:bottom w:val="none" w:sz="0" w:space="0" w:color="auto"/>
        <w:right w:val="none" w:sz="0" w:space="0" w:color="auto"/>
      </w:divBdr>
    </w:div>
    <w:div w:id="808089061">
      <w:bodyDiv w:val="1"/>
      <w:marLeft w:val="0"/>
      <w:marRight w:val="0"/>
      <w:marTop w:val="0"/>
      <w:marBottom w:val="0"/>
      <w:divBdr>
        <w:top w:val="none" w:sz="0" w:space="0" w:color="auto"/>
        <w:left w:val="none" w:sz="0" w:space="0" w:color="auto"/>
        <w:bottom w:val="none" w:sz="0" w:space="0" w:color="auto"/>
        <w:right w:val="none" w:sz="0" w:space="0" w:color="auto"/>
      </w:divBdr>
    </w:div>
    <w:div w:id="1553544420">
      <w:bodyDiv w:val="1"/>
      <w:marLeft w:val="0"/>
      <w:marRight w:val="0"/>
      <w:marTop w:val="0"/>
      <w:marBottom w:val="0"/>
      <w:divBdr>
        <w:top w:val="none" w:sz="0" w:space="0" w:color="auto"/>
        <w:left w:val="none" w:sz="0" w:space="0" w:color="auto"/>
        <w:bottom w:val="none" w:sz="0" w:space="0" w:color="auto"/>
        <w:right w:val="none" w:sz="0" w:space="0" w:color="auto"/>
      </w:divBdr>
    </w:div>
    <w:div w:id="1678118715">
      <w:bodyDiv w:val="1"/>
      <w:marLeft w:val="0"/>
      <w:marRight w:val="0"/>
      <w:marTop w:val="0"/>
      <w:marBottom w:val="0"/>
      <w:divBdr>
        <w:top w:val="none" w:sz="0" w:space="0" w:color="auto"/>
        <w:left w:val="none" w:sz="0" w:space="0" w:color="auto"/>
        <w:bottom w:val="none" w:sz="0" w:space="0" w:color="auto"/>
        <w:right w:val="none" w:sz="0" w:space="0" w:color="auto"/>
      </w:divBdr>
      <w:divsChild>
        <w:div w:id="1880972588">
          <w:marLeft w:val="0"/>
          <w:marRight w:val="0"/>
          <w:marTop w:val="0"/>
          <w:marBottom w:val="0"/>
          <w:divBdr>
            <w:top w:val="none" w:sz="0" w:space="0" w:color="auto"/>
            <w:left w:val="none" w:sz="0" w:space="0" w:color="auto"/>
            <w:bottom w:val="none" w:sz="0" w:space="0" w:color="auto"/>
            <w:right w:val="none" w:sz="0" w:space="0" w:color="auto"/>
          </w:divBdr>
        </w:div>
        <w:div w:id="2092845471">
          <w:marLeft w:val="0"/>
          <w:marRight w:val="0"/>
          <w:marTop w:val="0"/>
          <w:marBottom w:val="0"/>
          <w:divBdr>
            <w:top w:val="none" w:sz="0" w:space="0" w:color="auto"/>
            <w:left w:val="none" w:sz="0" w:space="0" w:color="auto"/>
            <w:bottom w:val="none" w:sz="0" w:space="0" w:color="auto"/>
            <w:right w:val="none" w:sz="0" w:space="0" w:color="auto"/>
          </w:divBdr>
        </w:div>
      </w:divsChild>
    </w:div>
    <w:div w:id="1998916272">
      <w:bodyDiv w:val="1"/>
      <w:marLeft w:val="0"/>
      <w:marRight w:val="0"/>
      <w:marTop w:val="0"/>
      <w:marBottom w:val="0"/>
      <w:divBdr>
        <w:top w:val="none" w:sz="0" w:space="0" w:color="auto"/>
        <w:left w:val="none" w:sz="0" w:space="0" w:color="auto"/>
        <w:bottom w:val="none" w:sz="0" w:space="0" w:color="auto"/>
        <w:right w:val="none" w:sz="0" w:space="0" w:color="auto"/>
      </w:divBdr>
    </w:div>
    <w:div w:id="2015450831">
      <w:bodyDiv w:val="1"/>
      <w:marLeft w:val="0"/>
      <w:marRight w:val="0"/>
      <w:marTop w:val="0"/>
      <w:marBottom w:val="0"/>
      <w:divBdr>
        <w:top w:val="none" w:sz="0" w:space="0" w:color="auto"/>
        <w:left w:val="none" w:sz="0" w:space="0" w:color="auto"/>
        <w:bottom w:val="none" w:sz="0" w:space="0" w:color="auto"/>
        <w:right w:val="none" w:sz="0" w:space="0" w:color="auto"/>
      </w:divBdr>
      <w:divsChild>
        <w:div w:id="1441223934">
          <w:marLeft w:val="0"/>
          <w:marRight w:val="0"/>
          <w:marTop w:val="0"/>
          <w:marBottom w:val="0"/>
          <w:divBdr>
            <w:top w:val="none" w:sz="0" w:space="0" w:color="auto"/>
            <w:left w:val="none" w:sz="0" w:space="0" w:color="auto"/>
            <w:bottom w:val="none" w:sz="0" w:space="0" w:color="auto"/>
            <w:right w:val="none" w:sz="0" w:space="0" w:color="auto"/>
          </w:divBdr>
        </w:div>
        <w:div w:id="1137991277">
          <w:marLeft w:val="0"/>
          <w:marRight w:val="0"/>
          <w:marTop w:val="0"/>
          <w:marBottom w:val="0"/>
          <w:divBdr>
            <w:top w:val="none" w:sz="0" w:space="0" w:color="auto"/>
            <w:left w:val="none" w:sz="0" w:space="0" w:color="auto"/>
            <w:bottom w:val="none" w:sz="0" w:space="0" w:color="auto"/>
            <w:right w:val="none" w:sz="0" w:space="0" w:color="auto"/>
          </w:divBdr>
        </w:div>
        <w:div w:id="600454371">
          <w:marLeft w:val="0"/>
          <w:marRight w:val="0"/>
          <w:marTop w:val="0"/>
          <w:marBottom w:val="0"/>
          <w:divBdr>
            <w:top w:val="none" w:sz="0" w:space="0" w:color="auto"/>
            <w:left w:val="none" w:sz="0" w:space="0" w:color="auto"/>
            <w:bottom w:val="none" w:sz="0" w:space="0" w:color="auto"/>
            <w:right w:val="none" w:sz="0" w:space="0" w:color="auto"/>
          </w:divBdr>
        </w:div>
        <w:div w:id="84419914">
          <w:marLeft w:val="0"/>
          <w:marRight w:val="0"/>
          <w:marTop w:val="0"/>
          <w:marBottom w:val="0"/>
          <w:divBdr>
            <w:top w:val="none" w:sz="0" w:space="0" w:color="auto"/>
            <w:left w:val="none" w:sz="0" w:space="0" w:color="auto"/>
            <w:bottom w:val="none" w:sz="0" w:space="0" w:color="auto"/>
            <w:right w:val="none" w:sz="0" w:space="0" w:color="auto"/>
          </w:divBdr>
        </w:div>
        <w:div w:id="194731006">
          <w:marLeft w:val="0"/>
          <w:marRight w:val="0"/>
          <w:marTop w:val="0"/>
          <w:marBottom w:val="0"/>
          <w:divBdr>
            <w:top w:val="none" w:sz="0" w:space="0" w:color="auto"/>
            <w:left w:val="none" w:sz="0" w:space="0" w:color="auto"/>
            <w:bottom w:val="none" w:sz="0" w:space="0" w:color="auto"/>
            <w:right w:val="none" w:sz="0" w:space="0" w:color="auto"/>
          </w:divBdr>
        </w:div>
        <w:div w:id="1244534938">
          <w:marLeft w:val="0"/>
          <w:marRight w:val="0"/>
          <w:marTop w:val="0"/>
          <w:marBottom w:val="0"/>
          <w:divBdr>
            <w:top w:val="none" w:sz="0" w:space="0" w:color="auto"/>
            <w:left w:val="none" w:sz="0" w:space="0" w:color="auto"/>
            <w:bottom w:val="none" w:sz="0" w:space="0" w:color="auto"/>
            <w:right w:val="none" w:sz="0" w:space="0" w:color="auto"/>
          </w:divBdr>
        </w:div>
        <w:div w:id="1458061898">
          <w:marLeft w:val="0"/>
          <w:marRight w:val="0"/>
          <w:marTop w:val="0"/>
          <w:marBottom w:val="0"/>
          <w:divBdr>
            <w:top w:val="none" w:sz="0" w:space="0" w:color="auto"/>
            <w:left w:val="none" w:sz="0" w:space="0" w:color="auto"/>
            <w:bottom w:val="none" w:sz="0" w:space="0" w:color="auto"/>
            <w:right w:val="none" w:sz="0" w:space="0" w:color="auto"/>
          </w:divBdr>
        </w:div>
        <w:div w:id="946083612">
          <w:marLeft w:val="0"/>
          <w:marRight w:val="0"/>
          <w:marTop w:val="0"/>
          <w:marBottom w:val="0"/>
          <w:divBdr>
            <w:top w:val="none" w:sz="0" w:space="0" w:color="auto"/>
            <w:left w:val="none" w:sz="0" w:space="0" w:color="auto"/>
            <w:bottom w:val="none" w:sz="0" w:space="0" w:color="auto"/>
            <w:right w:val="none" w:sz="0" w:space="0" w:color="auto"/>
          </w:divBdr>
        </w:div>
        <w:div w:id="273445814">
          <w:marLeft w:val="0"/>
          <w:marRight w:val="0"/>
          <w:marTop w:val="0"/>
          <w:marBottom w:val="0"/>
          <w:divBdr>
            <w:top w:val="none" w:sz="0" w:space="0" w:color="auto"/>
            <w:left w:val="none" w:sz="0" w:space="0" w:color="auto"/>
            <w:bottom w:val="none" w:sz="0" w:space="0" w:color="auto"/>
            <w:right w:val="none" w:sz="0" w:space="0" w:color="auto"/>
          </w:divBdr>
        </w:div>
        <w:div w:id="781530086">
          <w:marLeft w:val="0"/>
          <w:marRight w:val="0"/>
          <w:marTop w:val="0"/>
          <w:marBottom w:val="0"/>
          <w:divBdr>
            <w:top w:val="none" w:sz="0" w:space="0" w:color="auto"/>
            <w:left w:val="none" w:sz="0" w:space="0" w:color="auto"/>
            <w:bottom w:val="none" w:sz="0" w:space="0" w:color="auto"/>
            <w:right w:val="none" w:sz="0" w:space="0" w:color="auto"/>
          </w:divBdr>
        </w:div>
        <w:div w:id="504633284">
          <w:marLeft w:val="0"/>
          <w:marRight w:val="0"/>
          <w:marTop w:val="0"/>
          <w:marBottom w:val="0"/>
          <w:divBdr>
            <w:top w:val="none" w:sz="0" w:space="0" w:color="auto"/>
            <w:left w:val="none" w:sz="0" w:space="0" w:color="auto"/>
            <w:bottom w:val="none" w:sz="0" w:space="0" w:color="auto"/>
            <w:right w:val="none" w:sz="0" w:space="0" w:color="auto"/>
          </w:divBdr>
        </w:div>
        <w:div w:id="1216746147">
          <w:marLeft w:val="0"/>
          <w:marRight w:val="0"/>
          <w:marTop w:val="0"/>
          <w:marBottom w:val="0"/>
          <w:divBdr>
            <w:top w:val="none" w:sz="0" w:space="0" w:color="auto"/>
            <w:left w:val="none" w:sz="0" w:space="0" w:color="auto"/>
            <w:bottom w:val="none" w:sz="0" w:space="0" w:color="auto"/>
            <w:right w:val="none" w:sz="0" w:space="0" w:color="auto"/>
          </w:divBdr>
        </w:div>
        <w:div w:id="374891192">
          <w:marLeft w:val="0"/>
          <w:marRight w:val="0"/>
          <w:marTop w:val="0"/>
          <w:marBottom w:val="0"/>
          <w:divBdr>
            <w:top w:val="none" w:sz="0" w:space="0" w:color="auto"/>
            <w:left w:val="none" w:sz="0" w:space="0" w:color="auto"/>
            <w:bottom w:val="none" w:sz="0" w:space="0" w:color="auto"/>
            <w:right w:val="none" w:sz="0" w:space="0" w:color="auto"/>
          </w:divBdr>
        </w:div>
        <w:div w:id="1458723537">
          <w:marLeft w:val="0"/>
          <w:marRight w:val="0"/>
          <w:marTop w:val="0"/>
          <w:marBottom w:val="0"/>
          <w:divBdr>
            <w:top w:val="none" w:sz="0" w:space="0" w:color="auto"/>
            <w:left w:val="none" w:sz="0" w:space="0" w:color="auto"/>
            <w:bottom w:val="none" w:sz="0" w:space="0" w:color="auto"/>
            <w:right w:val="none" w:sz="0" w:space="0" w:color="auto"/>
          </w:divBdr>
        </w:div>
        <w:div w:id="645279631">
          <w:marLeft w:val="0"/>
          <w:marRight w:val="0"/>
          <w:marTop w:val="0"/>
          <w:marBottom w:val="0"/>
          <w:divBdr>
            <w:top w:val="none" w:sz="0" w:space="0" w:color="auto"/>
            <w:left w:val="none" w:sz="0" w:space="0" w:color="auto"/>
            <w:bottom w:val="none" w:sz="0" w:space="0" w:color="auto"/>
            <w:right w:val="none" w:sz="0" w:space="0" w:color="auto"/>
          </w:divBdr>
        </w:div>
        <w:div w:id="416482846">
          <w:marLeft w:val="0"/>
          <w:marRight w:val="0"/>
          <w:marTop w:val="0"/>
          <w:marBottom w:val="0"/>
          <w:divBdr>
            <w:top w:val="none" w:sz="0" w:space="0" w:color="auto"/>
            <w:left w:val="none" w:sz="0" w:space="0" w:color="auto"/>
            <w:bottom w:val="none" w:sz="0" w:space="0" w:color="auto"/>
            <w:right w:val="none" w:sz="0" w:space="0" w:color="auto"/>
          </w:divBdr>
        </w:div>
        <w:div w:id="598098792">
          <w:marLeft w:val="0"/>
          <w:marRight w:val="0"/>
          <w:marTop w:val="0"/>
          <w:marBottom w:val="0"/>
          <w:divBdr>
            <w:top w:val="none" w:sz="0" w:space="0" w:color="auto"/>
            <w:left w:val="none" w:sz="0" w:space="0" w:color="auto"/>
            <w:bottom w:val="none" w:sz="0" w:space="0" w:color="auto"/>
            <w:right w:val="none" w:sz="0" w:space="0" w:color="auto"/>
          </w:divBdr>
        </w:div>
        <w:div w:id="385689559">
          <w:marLeft w:val="0"/>
          <w:marRight w:val="0"/>
          <w:marTop w:val="0"/>
          <w:marBottom w:val="0"/>
          <w:divBdr>
            <w:top w:val="none" w:sz="0" w:space="0" w:color="auto"/>
            <w:left w:val="none" w:sz="0" w:space="0" w:color="auto"/>
            <w:bottom w:val="none" w:sz="0" w:space="0" w:color="auto"/>
            <w:right w:val="none" w:sz="0" w:space="0" w:color="auto"/>
          </w:divBdr>
        </w:div>
        <w:div w:id="1934244683">
          <w:marLeft w:val="0"/>
          <w:marRight w:val="0"/>
          <w:marTop w:val="0"/>
          <w:marBottom w:val="0"/>
          <w:divBdr>
            <w:top w:val="none" w:sz="0" w:space="0" w:color="auto"/>
            <w:left w:val="none" w:sz="0" w:space="0" w:color="auto"/>
            <w:bottom w:val="none" w:sz="0" w:space="0" w:color="auto"/>
            <w:right w:val="none" w:sz="0" w:space="0" w:color="auto"/>
          </w:divBdr>
        </w:div>
        <w:div w:id="1016737832">
          <w:marLeft w:val="0"/>
          <w:marRight w:val="0"/>
          <w:marTop w:val="0"/>
          <w:marBottom w:val="0"/>
          <w:divBdr>
            <w:top w:val="none" w:sz="0" w:space="0" w:color="auto"/>
            <w:left w:val="none" w:sz="0" w:space="0" w:color="auto"/>
            <w:bottom w:val="none" w:sz="0" w:space="0" w:color="auto"/>
            <w:right w:val="none" w:sz="0" w:space="0" w:color="auto"/>
          </w:divBdr>
        </w:div>
        <w:div w:id="158422470">
          <w:marLeft w:val="0"/>
          <w:marRight w:val="0"/>
          <w:marTop w:val="0"/>
          <w:marBottom w:val="0"/>
          <w:divBdr>
            <w:top w:val="none" w:sz="0" w:space="0" w:color="auto"/>
            <w:left w:val="none" w:sz="0" w:space="0" w:color="auto"/>
            <w:bottom w:val="none" w:sz="0" w:space="0" w:color="auto"/>
            <w:right w:val="none" w:sz="0" w:space="0" w:color="auto"/>
          </w:divBdr>
        </w:div>
        <w:div w:id="798494214">
          <w:marLeft w:val="0"/>
          <w:marRight w:val="0"/>
          <w:marTop w:val="0"/>
          <w:marBottom w:val="0"/>
          <w:divBdr>
            <w:top w:val="none" w:sz="0" w:space="0" w:color="auto"/>
            <w:left w:val="none" w:sz="0" w:space="0" w:color="auto"/>
            <w:bottom w:val="none" w:sz="0" w:space="0" w:color="auto"/>
            <w:right w:val="none" w:sz="0" w:space="0" w:color="auto"/>
          </w:divBdr>
        </w:div>
        <w:div w:id="411783088">
          <w:marLeft w:val="0"/>
          <w:marRight w:val="0"/>
          <w:marTop w:val="0"/>
          <w:marBottom w:val="0"/>
          <w:divBdr>
            <w:top w:val="none" w:sz="0" w:space="0" w:color="auto"/>
            <w:left w:val="none" w:sz="0" w:space="0" w:color="auto"/>
            <w:bottom w:val="none" w:sz="0" w:space="0" w:color="auto"/>
            <w:right w:val="none" w:sz="0" w:space="0" w:color="auto"/>
          </w:divBdr>
        </w:div>
        <w:div w:id="850338565">
          <w:marLeft w:val="0"/>
          <w:marRight w:val="0"/>
          <w:marTop w:val="0"/>
          <w:marBottom w:val="0"/>
          <w:divBdr>
            <w:top w:val="none" w:sz="0" w:space="0" w:color="auto"/>
            <w:left w:val="none" w:sz="0" w:space="0" w:color="auto"/>
            <w:bottom w:val="none" w:sz="0" w:space="0" w:color="auto"/>
            <w:right w:val="none" w:sz="0" w:space="0" w:color="auto"/>
          </w:divBdr>
        </w:div>
      </w:divsChild>
    </w:div>
    <w:div w:id="2110546190">
      <w:bodyDiv w:val="1"/>
      <w:marLeft w:val="0"/>
      <w:marRight w:val="0"/>
      <w:marTop w:val="0"/>
      <w:marBottom w:val="0"/>
      <w:divBdr>
        <w:top w:val="none" w:sz="0" w:space="0" w:color="auto"/>
        <w:left w:val="none" w:sz="0" w:space="0" w:color="auto"/>
        <w:bottom w:val="none" w:sz="0" w:space="0" w:color="auto"/>
        <w:right w:val="none" w:sz="0" w:space="0" w:color="auto"/>
      </w:divBdr>
      <w:divsChild>
        <w:div w:id="1384138518">
          <w:marLeft w:val="0"/>
          <w:marRight w:val="0"/>
          <w:marTop w:val="0"/>
          <w:marBottom w:val="0"/>
          <w:divBdr>
            <w:top w:val="none" w:sz="0" w:space="0" w:color="auto"/>
            <w:left w:val="none" w:sz="0" w:space="0" w:color="auto"/>
            <w:bottom w:val="none" w:sz="0" w:space="0" w:color="auto"/>
            <w:right w:val="none" w:sz="0" w:space="0" w:color="auto"/>
          </w:divBdr>
        </w:div>
        <w:div w:id="1026256017">
          <w:marLeft w:val="0"/>
          <w:marRight w:val="0"/>
          <w:marTop w:val="0"/>
          <w:marBottom w:val="0"/>
          <w:divBdr>
            <w:top w:val="none" w:sz="0" w:space="0" w:color="auto"/>
            <w:left w:val="none" w:sz="0" w:space="0" w:color="auto"/>
            <w:bottom w:val="none" w:sz="0" w:space="0" w:color="auto"/>
            <w:right w:val="none" w:sz="0" w:space="0" w:color="auto"/>
          </w:divBdr>
        </w:div>
        <w:div w:id="302850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HSGAdvisors.com"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ww.globenewswire.com/Tracker?data=XR68wX1qxB8eWX6Z16D01lcKeRw7_-loKAMh3CdONXRnKVRPLmFCP6xTKfa30vL_luMM2VpwJJGjltdjlNwq011wapJH2HkxSLuJz7KxxyOlecZtzb6k-nQJTvrulgOQH5K2zIW13SiGqWiWE9h5Fw=="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mailto:karolyn@wingermarketing.com"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mailto:info@hsgadvisors.com"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LinkedIn" TargetMode="External" Id="rId14" /><Relationship Type="http://schemas.openxmlformats.org/officeDocument/2006/relationships/hyperlink" Target="https://www.globenewswire.com/Tracker?data=YNCLbsGqQnUhXBlf34ER_6yK8v-0Q3TgvGYRi3k8HkJtkOcuLWBCdVY__2yRzLdBWfiiwWwMkU3cKyePnTjeFt7S3CfOpGPGej8W4emvqr4b2ddu7CNa_7e72r5k-uTCYw31PnSaaY4AcEwuzacHpvxIln016_qK1onEWquwsak=" TargetMode="External" Id="Rffc8062e875c473f"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SG">
      <a:majorFont>
        <a:latin typeface="Century Gothic"/>
        <a:ea typeface=""/>
        <a:cs typeface=""/>
      </a:majorFont>
      <a:minorFont>
        <a:latin typeface="Ebrima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44EF4428323C14894DE62856211281C" ma:contentTypeVersion="14" ma:contentTypeDescription="Create a new document." ma:contentTypeScope="" ma:versionID="26ee26e8bbf78d649aae0f937d433f76">
  <xsd:schema xmlns:xsd="http://www.w3.org/2001/XMLSchema" xmlns:xs="http://www.w3.org/2001/XMLSchema" xmlns:p="http://schemas.microsoft.com/office/2006/metadata/properties" xmlns:ns2="7f1b7d1b-a7ba-4b90-a6f1-a3ca81bf69df" xmlns:ns3="405786f7-1f34-46fc-8cc7-ae8e5ec32592" targetNamespace="http://schemas.microsoft.com/office/2006/metadata/properties" ma:root="true" ma:fieldsID="8dcc28a3a771c3429a1ab232e9dfbb48" ns2:_="" ns3:_="">
    <xsd:import namespace="7f1b7d1b-a7ba-4b90-a6f1-a3ca81bf69df"/>
    <xsd:import namespace="405786f7-1f34-46fc-8cc7-ae8e5ec3259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b7d1b-a7ba-4b90-a6f1-a3ca81bf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63c8dd-c223-4a5b-b204-efeb195604f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5786f7-1f34-46fc-8cc7-ae8e5ec3259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b2f0b0-dee4-4434-99d9-d5b6a8ea1436}" ma:internalName="TaxCatchAll" ma:showField="CatchAllData" ma:web="405786f7-1f34-46fc-8cc7-ae8e5ec3259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5786f7-1f34-46fc-8cc7-ae8e5ec32592" xsi:nil="true"/>
    <lcf76f155ced4ddcb4097134ff3c332f xmlns="7f1b7d1b-a7ba-4b90-a6f1-a3ca81bf69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B9E155-88D0-4FA2-8F3B-0A1FA729B51E}">
  <ds:schemaRefs>
    <ds:schemaRef ds:uri="http://schemas.microsoft.com/sharepoint/v3/contenttype/forms"/>
  </ds:schemaRefs>
</ds:datastoreItem>
</file>

<file path=customXml/itemProps2.xml><?xml version="1.0" encoding="utf-8"?>
<ds:datastoreItem xmlns:ds="http://schemas.openxmlformats.org/officeDocument/2006/customXml" ds:itemID="{5DA4B2B9-D530-4CE2-93CE-6349382A2420}">
  <ds:schemaRefs>
    <ds:schemaRef ds:uri="http://schemas.openxmlformats.org/officeDocument/2006/bibliography"/>
  </ds:schemaRefs>
</ds:datastoreItem>
</file>

<file path=customXml/itemProps3.xml><?xml version="1.0" encoding="utf-8"?>
<ds:datastoreItem xmlns:ds="http://schemas.openxmlformats.org/officeDocument/2006/customXml" ds:itemID="{690E3C9F-B624-4D44-955D-0B8E07F89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b7d1b-a7ba-4b90-a6f1-a3ca81bf69df"/>
    <ds:schemaRef ds:uri="405786f7-1f34-46fc-8cc7-ae8e5ec32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67B36C-3541-4D97-B700-930D3AF3D555}">
  <ds:schemaRefs>
    <ds:schemaRef ds:uri="http://schemas.microsoft.com/office/2006/metadata/properties"/>
    <ds:schemaRef ds:uri="http://schemas.microsoft.com/office/infopath/2007/PartnerControls"/>
    <ds:schemaRef ds:uri="405786f7-1f34-46fc-8cc7-ae8e5ec32592"/>
    <ds:schemaRef ds:uri="7f1b7d1b-a7ba-4b90-a6f1-a3ca81bf69d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Christopher Walls</dc:creator>
  <keywords/>
  <dc:description/>
  <lastModifiedBy>Sharon Jackson</lastModifiedBy>
  <revision>8</revision>
  <lastPrinted>2017-07-23T19:38:00.0000000Z</lastPrinted>
  <dcterms:created xsi:type="dcterms:W3CDTF">2023-12-13T15:53:00.0000000Z</dcterms:created>
  <dcterms:modified xsi:type="dcterms:W3CDTF">2023-12-15T14:23:05.0939146Z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0x010100244EF4428323C14894DE62856211281C</vt:lpwstr>
  </property>
  <property fmtid="{D5CDD505-2E9C-101B-9397-08002B2CF9AE}" pid="3" name="Order">
    <vt:r8>1700</vt:r8>
  </property>
  <property fmtid="{D5CDD505-2E9C-101B-9397-08002B2CF9AE}" pid="4" name="GrammarlyDocumentId">
    <vt:lpwstr>7abaac50baf2f03fd7795d883f019da3eba17333a2ae1c72deb9a547081fc019</vt:lpwstr>
  </property>
  <property fmtid="{D5CDD505-2E9C-101B-9397-08002B2CF9AE}" pid="5" name="MediaServiceImageTags">
    <vt:lpwstr/>
  </property>
</Properties>
</file>